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A7068" w14:textId="77777777" w:rsidR="000E6FB8" w:rsidRPr="000E6FB8" w:rsidRDefault="000E6FB8" w:rsidP="000E6FB8">
      <w:pPr>
        <w:spacing w:after="0" w:line="240" w:lineRule="auto"/>
        <w:textAlignment w:val="center"/>
        <w:rPr>
          <w:rFonts w:ascii="Open Sans" w:eastAsia="Times New Roman" w:hAnsi="Open Sans" w:cs="Open Sans"/>
          <w:b/>
          <w:bCs/>
          <w:color w:val="231F20"/>
          <w:sz w:val="24"/>
          <w:szCs w:val="24"/>
          <w:lang w:eastAsia="en-ZA"/>
        </w:rPr>
      </w:pPr>
      <w:r w:rsidRPr="000E6FB8">
        <w:rPr>
          <w:rFonts w:ascii="Open Sans" w:eastAsia="Times New Roman" w:hAnsi="Open Sans" w:cs="Open Sans"/>
          <w:b/>
          <w:bCs/>
          <w:color w:val="231F20"/>
          <w:sz w:val="24"/>
          <w:szCs w:val="24"/>
          <w:lang w:eastAsia="en-ZA"/>
        </w:rPr>
        <w:t xml:space="preserve">Risk benefits </w:t>
      </w:r>
    </w:p>
    <w:p w14:paraId="0843FBDE" w14:textId="78C96F94" w:rsidR="000E6FB8" w:rsidRPr="000E6FB8" w:rsidRDefault="000E6FB8" w:rsidP="000E6FB8">
      <w:pPr>
        <w:spacing w:after="0" w:line="240" w:lineRule="auto"/>
        <w:textAlignment w:val="center"/>
        <w:rPr>
          <w:rFonts w:ascii="Open Sans" w:eastAsia="Times New Roman" w:hAnsi="Open Sans" w:cs="Open Sans"/>
          <w:color w:val="231F20"/>
          <w:sz w:val="24"/>
          <w:szCs w:val="24"/>
          <w:lang w:eastAsia="en-ZA"/>
        </w:rPr>
      </w:pPr>
      <w:hyperlink r:id="rId4" w:history="1">
        <w:r w:rsidRPr="000E6FB8">
          <w:rPr>
            <w:rFonts w:ascii="Open Sans" w:eastAsia="Times New Roman" w:hAnsi="Open Sans" w:cs="Open Sans"/>
            <w:color w:val="0000FF"/>
            <w:sz w:val="24"/>
            <w:szCs w:val="24"/>
            <w:lang w:eastAsia="en-ZA"/>
          </w:rPr>
          <w:br/>
        </w:r>
        <w:r w:rsidRPr="000E6FB8">
          <w:rPr>
            <w:rFonts w:ascii="Open Sans" w:eastAsia="Times New Roman" w:hAnsi="Open Sans" w:cs="Open Sans"/>
            <w:color w:val="0000FF"/>
            <w:sz w:val="24"/>
            <w:szCs w:val="24"/>
            <w:u w:val="single"/>
            <w:lang w:eastAsia="en-ZA"/>
          </w:rPr>
          <w:t>A Review of Children’s Access to Employment-Based Contributory Social Insurance Benefits</w:t>
        </w:r>
      </w:hyperlink>
    </w:p>
    <w:p w14:paraId="33223BF5" w14:textId="77777777" w:rsidR="000E6FB8" w:rsidRPr="000E6FB8" w:rsidRDefault="000E6FB8" w:rsidP="000E6FB8">
      <w:pPr>
        <w:spacing w:after="0" w:line="240" w:lineRule="auto"/>
        <w:textAlignment w:val="center"/>
        <w:rPr>
          <w:rFonts w:ascii="Open Sans" w:eastAsia="Times New Roman" w:hAnsi="Open Sans" w:cs="Open Sans"/>
          <w:color w:val="5F5B5C"/>
          <w:sz w:val="20"/>
          <w:szCs w:val="20"/>
          <w:lang w:eastAsia="en-ZA"/>
        </w:rPr>
      </w:pPr>
      <w:r w:rsidRPr="000E6FB8">
        <w:rPr>
          <w:rFonts w:ascii="Open Sans" w:eastAsia="Times New Roman" w:hAnsi="Open Sans" w:cs="Open Sans"/>
          <w:color w:val="5F5B5C"/>
          <w:sz w:val="20"/>
          <w:szCs w:val="20"/>
          <w:lang w:eastAsia="en-ZA"/>
        </w:rPr>
        <w:t xml:space="preserve">In 2005, 19% of South Africa’s child population were orphans. Of these, 2 million were paternal orphans, which is significant because fathers were more likely to earn income than mothers. This review assesses the obstacles that orphans face in trying to access the death benefits due to them from statutory insurance schemes and pension funds. It discusses South Africa’s three statutory social insurance funds (the Compensation Fund, the Mines and Works Compensation Fund, and the Unemployment Insurance Fund) and eight major registered retirement funds (including the Government Employees Pension Fund, the Mineworkers Provident Fund, and the Standard Bank Group Retirement Fund). Risks to orphans’ access to their benefits </w:t>
      </w:r>
      <w:proofErr w:type="gramStart"/>
      <w:r w:rsidRPr="000E6FB8">
        <w:rPr>
          <w:rFonts w:ascii="Open Sans" w:eastAsia="Times New Roman" w:hAnsi="Open Sans" w:cs="Open Sans"/>
          <w:color w:val="5F5B5C"/>
          <w:sz w:val="20"/>
          <w:szCs w:val="20"/>
          <w:lang w:eastAsia="en-ZA"/>
        </w:rPr>
        <w:t>include:</w:t>
      </w:r>
      <w:proofErr w:type="gramEnd"/>
      <w:r w:rsidRPr="000E6FB8">
        <w:rPr>
          <w:rFonts w:ascii="Open Sans" w:eastAsia="Times New Roman" w:hAnsi="Open Sans" w:cs="Open Sans"/>
          <w:color w:val="5F5B5C"/>
          <w:sz w:val="20"/>
          <w:szCs w:val="20"/>
          <w:lang w:eastAsia="en-ZA"/>
        </w:rPr>
        <w:t xml:space="preserve"> problems around the appointment of guardians, inconsistent coverage for foster children, limitations in the coverage of workers out of employment and unlawful workers, cumbersome claims procedures, poorly investigated claims (by some funds), inappropriate payment methods, poor governance, inappropriate trust arrangements, and weak monitoring of and reporting on unclaimed monies. The review makes recommendations on the enforcement of existing duties and includes suggestions for reform. It uses published secondary material, interviews, and case studies. The main body discusses the findings, and substantial appendices describe the selected funds</w:t>
      </w:r>
    </w:p>
    <w:p w14:paraId="4362E458" w14:textId="77777777" w:rsidR="000E6FB8" w:rsidRPr="000E6FB8" w:rsidRDefault="000E6FB8" w:rsidP="000E6FB8">
      <w:pPr>
        <w:spacing w:line="240" w:lineRule="auto"/>
        <w:textAlignment w:val="center"/>
        <w:rPr>
          <w:rFonts w:ascii="Open Sans" w:eastAsia="Times New Roman" w:hAnsi="Open Sans" w:cs="Open Sans"/>
          <w:color w:val="747374"/>
          <w:sz w:val="24"/>
          <w:szCs w:val="24"/>
          <w:lang w:eastAsia="en-ZA"/>
        </w:rPr>
      </w:pPr>
      <w:r w:rsidRPr="000E6FB8">
        <w:rPr>
          <w:rFonts w:ascii="Open Sans" w:eastAsia="Times New Roman" w:hAnsi="Open Sans" w:cs="Open Sans"/>
          <w:color w:val="747374"/>
          <w:sz w:val="24"/>
          <w:szCs w:val="24"/>
          <w:lang w:eastAsia="en-ZA"/>
        </w:rPr>
        <w:t>Author: Nick de Villiers and Sonja Giese Year: 2008</w:t>
      </w:r>
    </w:p>
    <w:p w14:paraId="43DEE29A" w14:textId="77777777" w:rsidR="000E6FB8" w:rsidRPr="000E6FB8" w:rsidRDefault="000E6FB8" w:rsidP="000E6FB8">
      <w:pPr>
        <w:spacing w:after="0" w:line="240" w:lineRule="auto"/>
        <w:textAlignment w:val="center"/>
        <w:rPr>
          <w:rFonts w:ascii="Open Sans" w:eastAsia="Times New Roman" w:hAnsi="Open Sans" w:cs="Open Sans"/>
          <w:color w:val="231F20"/>
          <w:sz w:val="24"/>
          <w:szCs w:val="24"/>
          <w:lang w:eastAsia="en-ZA"/>
        </w:rPr>
      </w:pPr>
      <w:hyperlink r:id="rId5" w:history="1">
        <w:r w:rsidRPr="000E6FB8">
          <w:rPr>
            <w:rFonts w:ascii="Open Sans" w:eastAsia="Times New Roman" w:hAnsi="Open Sans" w:cs="Open Sans"/>
            <w:color w:val="0000FF"/>
            <w:sz w:val="24"/>
            <w:szCs w:val="24"/>
            <w:u w:val="single"/>
            <w:lang w:eastAsia="en-ZA"/>
          </w:rPr>
          <w:t>Risk benefit provision through provident and pension funds</w:t>
        </w:r>
      </w:hyperlink>
    </w:p>
    <w:p w14:paraId="58A81798" w14:textId="77777777" w:rsidR="000E6FB8" w:rsidRPr="000E6FB8" w:rsidRDefault="000E6FB8" w:rsidP="000E6FB8">
      <w:pPr>
        <w:spacing w:after="0" w:line="240" w:lineRule="auto"/>
        <w:textAlignment w:val="center"/>
        <w:rPr>
          <w:rFonts w:ascii="Open Sans" w:eastAsia="Times New Roman" w:hAnsi="Open Sans" w:cs="Open Sans"/>
          <w:color w:val="5F5B5C"/>
          <w:sz w:val="20"/>
          <w:szCs w:val="20"/>
          <w:lang w:eastAsia="en-ZA"/>
        </w:rPr>
      </w:pPr>
      <w:r w:rsidRPr="000E6FB8">
        <w:rPr>
          <w:rFonts w:ascii="Open Sans" w:eastAsia="Times New Roman" w:hAnsi="Open Sans" w:cs="Open Sans"/>
          <w:color w:val="5F5B5C"/>
          <w:sz w:val="20"/>
          <w:szCs w:val="20"/>
          <w:lang w:eastAsia="en-ZA"/>
        </w:rPr>
        <w:t>While South Africa’s sophisticated private pension and provident sector provides group risk benefits to its members, these are beyond the reach of most of the population. To address this problem, government has set out proposals for a basic contributory social security system, as well as for improvements to the private retirement fund industry. These include proposals to provide disability and survivor benefits, also known as risk benefits, alongside typical retirement benefits. Risk benefits are particularly important in South Africa, where the number of working-age deaths is expected to exceed the number of new retirements in the next few years, mainly because of HIV/AIDS. Social security arrangements must incorporate some risk provision, in line with widely accepted principles of social security. This paper considers the current provision of risk benefits, particularly through provident funds, focusing on value for money and access by people with different income levels. It suggests considerations for the design of a more comprehensive system, based on the broad consensus that such a system should be compulsory and contributory, improve coverage for lower-income earners, and incorporate accredited private sector providers. The considerations include issues such as institutional structure, membership and coverage, administration and collection, risk and cross-subsidies.</w:t>
      </w:r>
    </w:p>
    <w:p w14:paraId="439E0067" w14:textId="77777777" w:rsidR="000E6FB8" w:rsidRPr="000E6FB8" w:rsidRDefault="000E6FB8" w:rsidP="000E6FB8">
      <w:pPr>
        <w:spacing w:line="240" w:lineRule="auto"/>
        <w:textAlignment w:val="center"/>
        <w:rPr>
          <w:rFonts w:ascii="Open Sans" w:eastAsia="Times New Roman" w:hAnsi="Open Sans" w:cs="Open Sans"/>
          <w:color w:val="747374"/>
          <w:sz w:val="24"/>
          <w:szCs w:val="24"/>
          <w:lang w:eastAsia="en-ZA"/>
        </w:rPr>
      </w:pPr>
      <w:r w:rsidRPr="000E6FB8">
        <w:rPr>
          <w:rFonts w:ascii="Open Sans" w:eastAsia="Times New Roman" w:hAnsi="Open Sans" w:cs="Open Sans"/>
          <w:color w:val="747374"/>
          <w:sz w:val="24"/>
          <w:szCs w:val="24"/>
          <w:lang w:eastAsia="en-ZA"/>
        </w:rPr>
        <w:t xml:space="preserve">Author: Simon Hendrie, Anja Smith, Timothy </w:t>
      </w:r>
      <w:proofErr w:type="spellStart"/>
      <w:r w:rsidRPr="000E6FB8">
        <w:rPr>
          <w:rFonts w:ascii="Open Sans" w:eastAsia="Times New Roman" w:hAnsi="Open Sans" w:cs="Open Sans"/>
          <w:color w:val="747374"/>
          <w:sz w:val="24"/>
          <w:szCs w:val="24"/>
          <w:lang w:eastAsia="en-ZA"/>
        </w:rPr>
        <w:t>Hobden</w:t>
      </w:r>
      <w:proofErr w:type="spellEnd"/>
      <w:r w:rsidRPr="000E6FB8">
        <w:rPr>
          <w:rFonts w:ascii="Open Sans" w:eastAsia="Times New Roman" w:hAnsi="Open Sans" w:cs="Open Sans"/>
          <w:color w:val="747374"/>
          <w:sz w:val="24"/>
          <w:szCs w:val="24"/>
          <w:lang w:eastAsia="en-ZA"/>
        </w:rPr>
        <w:t xml:space="preserve">, </w:t>
      </w:r>
      <w:proofErr w:type="spellStart"/>
      <w:r w:rsidRPr="000E6FB8">
        <w:rPr>
          <w:rFonts w:ascii="Open Sans" w:eastAsia="Times New Roman" w:hAnsi="Open Sans" w:cs="Open Sans"/>
          <w:color w:val="747374"/>
          <w:sz w:val="24"/>
          <w:szCs w:val="24"/>
          <w:lang w:eastAsia="en-ZA"/>
        </w:rPr>
        <w:t>Omoneka</w:t>
      </w:r>
      <w:proofErr w:type="spellEnd"/>
      <w:r w:rsidRPr="000E6FB8">
        <w:rPr>
          <w:rFonts w:ascii="Open Sans" w:eastAsia="Times New Roman" w:hAnsi="Open Sans" w:cs="Open Sans"/>
          <w:color w:val="747374"/>
          <w:sz w:val="24"/>
          <w:szCs w:val="24"/>
          <w:lang w:eastAsia="en-ZA"/>
        </w:rPr>
        <w:t xml:space="preserve"> Musa Year: 2007</w:t>
      </w:r>
    </w:p>
    <w:p w14:paraId="1F82559F" w14:textId="77777777" w:rsidR="000E6FB8" w:rsidRPr="000E6FB8" w:rsidRDefault="000E6FB8" w:rsidP="000E6FB8">
      <w:pPr>
        <w:spacing w:after="0" w:line="240" w:lineRule="auto"/>
        <w:textAlignment w:val="center"/>
        <w:rPr>
          <w:rFonts w:ascii="Open Sans" w:eastAsia="Times New Roman" w:hAnsi="Open Sans" w:cs="Open Sans"/>
          <w:color w:val="231F20"/>
          <w:sz w:val="24"/>
          <w:szCs w:val="24"/>
          <w:lang w:eastAsia="en-ZA"/>
        </w:rPr>
      </w:pPr>
      <w:hyperlink r:id="rId6" w:history="1">
        <w:r w:rsidRPr="000E6FB8">
          <w:rPr>
            <w:rFonts w:ascii="Open Sans" w:eastAsia="Times New Roman" w:hAnsi="Open Sans" w:cs="Open Sans"/>
            <w:color w:val="0000FF"/>
            <w:sz w:val="24"/>
            <w:szCs w:val="24"/>
            <w:u w:val="single"/>
            <w:lang w:eastAsia="en-ZA"/>
          </w:rPr>
          <w:t>The Canada Pension Plan Disability Benefit</w:t>
        </w:r>
      </w:hyperlink>
    </w:p>
    <w:p w14:paraId="661B854F" w14:textId="77777777" w:rsidR="000E6FB8" w:rsidRPr="000E6FB8" w:rsidRDefault="000E6FB8" w:rsidP="000E6FB8">
      <w:pPr>
        <w:spacing w:after="0" w:line="240" w:lineRule="auto"/>
        <w:textAlignment w:val="center"/>
        <w:rPr>
          <w:rFonts w:ascii="Open Sans" w:eastAsia="Times New Roman" w:hAnsi="Open Sans" w:cs="Open Sans"/>
          <w:color w:val="5F5B5C"/>
          <w:sz w:val="20"/>
          <w:szCs w:val="20"/>
          <w:lang w:eastAsia="en-ZA"/>
        </w:rPr>
      </w:pPr>
      <w:r w:rsidRPr="000E6FB8">
        <w:rPr>
          <w:rFonts w:ascii="Open Sans" w:eastAsia="Times New Roman" w:hAnsi="Open Sans" w:cs="Open Sans"/>
          <w:color w:val="5F5B5C"/>
          <w:sz w:val="20"/>
          <w:szCs w:val="20"/>
          <w:lang w:eastAsia="en-ZA"/>
        </w:rPr>
        <w:t>This report presents a policy history of the Canada Pension Plan disability benefit. The Canada Pension Plan is a national public insurance programme that provides income protection to workers. The disability benefit supports contributors who cannot work because of severe and prolonged disabilities, along with their eligible children. The benefit has important advantages that are seldom available in other funds: (</w:t>
      </w:r>
      <w:proofErr w:type="spellStart"/>
      <w:r w:rsidRPr="000E6FB8">
        <w:rPr>
          <w:rFonts w:ascii="Open Sans" w:eastAsia="Times New Roman" w:hAnsi="Open Sans" w:cs="Open Sans"/>
          <w:color w:val="5F5B5C"/>
          <w:sz w:val="20"/>
          <w:szCs w:val="20"/>
          <w:lang w:eastAsia="en-ZA"/>
        </w:rPr>
        <w:t>i</w:t>
      </w:r>
      <w:proofErr w:type="spellEnd"/>
      <w:r w:rsidRPr="000E6FB8">
        <w:rPr>
          <w:rFonts w:ascii="Open Sans" w:eastAsia="Times New Roman" w:hAnsi="Open Sans" w:cs="Open Sans"/>
          <w:color w:val="5F5B5C"/>
          <w:sz w:val="20"/>
          <w:szCs w:val="20"/>
          <w:lang w:eastAsia="en-ZA"/>
        </w:rPr>
        <w:t xml:space="preserve">) it covers all working Canadians, including the self-employed; (ii) it neither excludes workers on the basis of their medical history nor requires higher premiums for high-risk contributors; (iii) it takes some account of disability-related costs by incorporating a flat-rate component; (iv) it guarantees coverage until recovery, retirement or death; and (v) it protects fully against inflation. Following rapidly rising caseloads and </w:t>
      </w:r>
      <w:r w:rsidRPr="000E6FB8">
        <w:rPr>
          <w:rFonts w:ascii="Open Sans" w:eastAsia="Times New Roman" w:hAnsi="Open Sans" w:cs="Open Sans"/>
          <w:color w:val="5F5B5C"/>
          <w:sz w:val="20"/>
          <w:szCs w:val="20"/>
          <w:lang w:eastAsia="en-ZA"/>
        </w:rPr>
        <w:lastRenderedPageBreak/>
        <w:t>sustainability concerns in the 1990s, administrative and eligibility changes were implemented that resulted in falling caseloads. This raised questions about the responsiveness of the programme and whether the restrictions have gone too far. The programme remains under pressure to balance fairness and adequacy with reasonable growth in caseloads and costs. The high rate of appeals of disability cases raises questions about the initial adjudication process, and the appeal system itself has come under scrutiny for procedural reasons.</w:t>
      </w:r>
    </w:p>
    <w:p w14:paraId="48D60BA7" w14:textId="77777777" w:rsidR="000E6FB8" w:rsidRPr="000E6FB8" w:rsidRDefault="000E6FB8" w:rsidP="000E6FB8">
      <w:pPr>
        <w:spacing w:line="240" w:lineRule="auto"/>
        <w:textAlignment w:val="center"/>
        <w:rPr>
          <w:rFonts w:ascii="Open Sans" w:eastAsia="Times New Roman" w:hAnsi="Open Sans" w:cs="Open Sans"/>
          <w:color w:val="747374"/>
          <w:sz w:val="24"/>
          <w:szCs w:val="24"/>
          <w:lang w:eastAsia="en-ZA"/>
        </w:rPr>
      </w:pPr>
      <w:r w:rsidRPr="000E6FB8">
        <w:rPr>
          <w:rFonts w:ascii="Open Sans" w:eastAsia="Times New Roman" w:hAnsi="Open Sans" w:cs="Open Sans"/>
          <w:color w:val="747374"/>
          <w:sz w:val="24"/>
          <w:szCs w:val="24"/>
          <w:lang w:eastAsia="en-ZA"/>
        </w:rPr>
        <w:t xml:space="preserve">Author: Sherri </w:t>
      </w:r>
      <w:proofErr w:type="spellStart"/>
      <w:r w:rsidRPr="000E6FB8">
        <w:rPr>
          <w:rFonts w:ascii="Open Sans" w:eastAsia="Times New Roman" w:hAnsi="Open Sans" w:cs="Open Sans"/>
          <w:color w:val="747374"/>
          <w:sz w:val="24"/>
          <w:szCs w:val="24"/>
          <w:lang w:eastAsia="en-ZA"/>
        </w:rPr>
        <w:t>Torjman</w:t>
      </w:r>
      <w:proofErr w:type="spellEnd"/>
      <w:r w:rsidRPr="000E6FB8">
        <w:rPr>
          <w:rFonts w:ascii="Open Sans" w:eastAsia="Times New Roman" w:hAnsi="Open Sans" w:cs="Open Sans"/>
          <w:color w:val="747374"/>
          <w:sz w:val="24"/>
          <w:szCs w:val="24"/>
          <w:lang w:eastAsia="en-ZA"/>
        </w:rPr>
        <w:t xml:space="preserve"> Year: 2002</w:t>
      </w:r>
    </w:p>
    <w:p w14:paraId="5689EB58" w14:textId="77777777" w:rsidR="000E6FB8" w:rsidRPr="000E6FB8" w:rsidRDefault="000E6FB8" w:rsidP="000E6FB8">
      <w:pPr>
        <w:spacing w:after="0" w:line="240" w:lineRule="auto"/>
        <w:textAlignment w:val="center"/>
        <w:rPr>
          <w:rFonts w:ascii="Open Sans" w:eastAsia="Times New Roman" w:hAnsi="Open Sans" w:cs="Open Sans"/>
          <w:color w:val="231F20"/>
          <w:sz w:val="24"/>
          <w:szCs w:val="24"/>
          <w:lang w:eastAsia="en-ZA"/>
        </w:rPr>
      </w:pPr>
      <w:hyperlink r:id="rId7" w:history="1">
        <w:r w:rsidRPr="000E6FB8">
          <w:rPr>
            <w:rFonts w:ascii="Open Sans" w:eastAsia="Times New Roman" w:hAnsi="Open Sans" w:cs="Open Sans"/>
            <w:color w:val="0000FF"/>
            <w:sz w:val="24"/>
            <w:szCs w:val="24"/>
            <w:u w:val="single"/>
            <w:lang w:eastAsia="en-ZA"/>
          </w:rPr>
          <w:t>The Impact of Private Participation and Countervailing Information on Disability Costs: Evidence from Chile</w:t>
        </w:r>
      </w:hyperlink>
    </w:p>
    <w:p w14:paraId="04167B78" w14:textId="77777777" w:rsidR="000E6FB8" w:rsidRPr="000E6FB8" w:rsidRDefault="000E6FB8" w:rsidP="000E6FB8">
      <w:pPr>
        <w:spacing w:after="0" w:line="240" w:lineRule="auto"/>
        <w:textAlignment w:val="center"/>
        <w:rPr>
          <w:rFonts w:ascii="Open Sans" w:eastAsia="Times New Roman" w:hAnsi="Open Sans" w:cs="Open Sans"/>
          <w:color w:val="5F5B5C"/>
          <w:sz w:val="20"/>
          <w:szCs w:val="20"/>
          <w:lang w:eastAsia="en-ZA"/>
        </w:rPr>
      </w:pPr>
      <w:r w:rsidRPr="000E6FB8">
        <w:rPr>
          <w:rFonts w:ascii="Open Sans" w:eastAsia="Times New Roman" w:hAnsi="Open Sans" w:cs="Open Sans"/>
          <w:color w:val="5F5B5C"/>
          <w:sz w:val="20"/>
          <w:szCs w:val="20"/>
          <w:lang w:eastAsia="en-ZA"/>
        </w:rPr>
        <w:t xml:space="preserve">Many social security systems face problems of high and escalating disability costs. This paper analyses the impact of a radical change in disability assessment procedures and incentives implemented in Chile as part of its new pension system. The new disability system differs from traditional public disability insurance in two ways. First, it is largely prefunded, initially through the accumulation in the retirement account and later through an insurance payment made when the person becomes permanently disabled (which is sufficient to cover a lifetime defined benefit annuity). Second, the disability assessment procedure includes participation by private pension funds and life insurance companies. They finance the benefit, have a direct pecuniary interest in controlling costs, and can pursue this objective by helping to set criteria and by providing countervailing information. This paper hypothesises that these procedures will keep costs low by cutting the incidence of successful claims. </w:t>
      </w:r>
      <w:proofErr w:type="gramStart"/>
      <w:r w:rsidRPr="000E6FB8">
        <w:rPr>
          <w:rFonts w:ascii="Open Sans" w:eastAsia="Times New Roman" w:hAnsi="Open Sans" w:cs="Open Sans"/>
          <w:color w:val="5F5B5C"/>
          <w:sz w:val="20"/>
          <w:szCs w:val="20"/>
          <w:lang w:eastAsia="en-ZA"/>
        </w:rPr>
        <w:t>Using the Cox proportional hazard model and a retrospective sample of new and old system affiliates, it</w:t>
      </w:r>
      <w:proofErr w:type="gramEnd"/>
      <w:r w:rsidRPr="000E6FB8">
        <w:rPr>
          <w:rFonts w:ascii="Open Sans" w:eastAsia="Times New Roman" w:hAnsi="Open Sans" w:cs="Open Sans"/>
          <w:color w:val="5F5B5C"/>
          <w:sz w:val="20"/>
          <w:szCs w:val="20"/>
          <w:lang w:eastAsia="en-ZA"/>
        </w:rPr>
        <w:t xml:space="preserve"> finds that disability hazard rates are only 20–35% as high in the new system as in the old. An analysis of mortality rates suggests that the new system has accurately targeted individuals with more severe medical problems.</w:t>
      </w:r>
    </w:p>
    <w:p w14:paraId="6D8B5EAB" w14:textId="77777777" w:rsidR="000E6FB8" w:rsidRPr="000E6FB8" w:rsidRDefault="000E6FB8" w:rsidP="000E6FB8">
      <w:pPr>
        <w:spacing w:line="240" w:lineRule="auto"/>
        <w:textAlignment w:val="center"/>
        <w:rPr>
          <w:rFonts w:ascii="Open Sans" w:eastAsia="Times New Roman" w:hAnsi="Open Sans" w:cs="Open Sans"/>
          <w:color w:val="747374"/>
          <w:sz w:val="24"/>
          <w:szCs w:val="24"/>
          <w:lang w:eastAsia="en-ZA"/>
        </w:rPr>
      </w:pPr>
      <w:r w:rsidRPr="000E6FB8">
        <w:rPr>
          <w:rFonts w:ascii="Open Sans" w:eastAsia="Times New Roman" w:hAnsi="Open Sans" w:cs="Open Sans"/>
          <w:color w:val="747374"/>
          <w:sz w:val="24"/>
          <w:szCs w:val="24"/>
          <w:lang w:eastAsia="en-ZA"/>
        </w:rPr>
        <w:t>Author: Estelle James, Alejandra Cox Edwards, Augusto Iglesias Year: 2008</w:t>
      </w:r>
    </w:p>
    <w:p w14:paraId="16BBA92E" w14:textId="77777777" w:rsidR="000E6FB8" w:rsidRPr="000E6FB8" w:rsidRDefault="000E6FB8" w:rsidP="000E6FB8">
      <w:pPr>
        <w:spacing w:after="0" w:line="240" w:lineRule="auto"/>
        <w:textAlignment w:val="center"/>
        <w:rPr>
          <w:rFonts w:ascii="Open Sans" w:eastAsia="Times New Roman" w:hAnsi="Open Sans" w:cs="Open Sans"/>
          <w:color w:val="231F20"/>
          <w:sz w:val="24"/>
          <w:szCs w:val="24"/>
          <w:lang w:eastAsia="en-ZA"/>
        </w:rPr>
      </w:pPr>
      <w:hyperlink r:id="rId8" w:history="1">
        <w:r w:rsidRPr="000E6FB8">
          <w:rPr>
            <w:rFonts w:ascii="Open Sans" w:eastAsia="Times New Roman" w:hAnsi="Open Sans" w:cs="Open Sans"/>
            <w:color w:val="0000FF"/>
            <w:sz w:val="24"/>
            <w:szCs w:val="24"/>
            <w:u w:val="single"/>
            <w:lang w:eastAsia="en-ZA"/>
          </w:rPr>
          <w:t>Workers’ Compensation in the Republic of South Africa</w:t>
        </w:r>
      </w:hyperlink>
    </w:p>
    <w:p w14:paraId="38560248" w14:textId="77777777" w:rsidR="000E6FB8" w:rsidRPr="000E6FB8" w:rsidRDefault="000E6FB8" w:rsidP="000E6FB8">
      <w:pPr>
        <w:spacing w:after="0" w:line="240" w:lineRule="auto"/>
        <w:textAlignment w:val="center"/>
        <w:rPr>
          <w:rFonts w:ascii="Open Sans" w:eastAsia="Times New Roman" w:hAnsi="Open Sans" w:cs="Open Sans"/>
          <w:color w:val="5F5B5C"/>
          <w:sz w:val="20"/>
          <w:szCs w:val="20"/>
          <w:lang w:eastAsia="en-ZA"/>
        </w:rPr>
      </w:pPr>
      <w:r w:rsidRPr="000E6FB8">
        <w:rPr>
          <w:rFonts w:ascii="Open Sans" w:eastAsia="Times New Roman" w:hAnsi="Open Sans" w:cs="Open Sans"/>
          <w:color w:val="5F5B5C"/>
          <w:sz w:val="20"/>
          <w:szCs w:val="20"/>
          <w:lang w:eastAsia="en-ZA"/>
        </w:rPr>
        <w:t>Workers’ compensation guarantees a reasonable remuneration or income stream for employees exiting the work force for health reasons causally linked to their jobs. This report assesses the socioeconomic efficacy of workers’ compensation in South Africa, in terms of both equity and efficiency. The regulated workers’ compensation industry in the country comprises three non-profit companies. While there seems to be no innate organisational inefficiency in these companies, the institutional design of the compensation process may introduce coordination, information, policing and transaction cost problems. The standards of behavioural performance for coverage and the claims process also need reform. The report does not favour the formation of a new government agency supplanting the current structure. Instead, it argues for the reform, development and implementation of standards of behavioural performance, which could also influence the incentive structure for workers to contribute. Overall, the report finds that workers’ compensation is socially on the right track, However, because social and economic benefits do not necessarily always overlap, the report also identifies scope for economic improvement. Finally, it argues that the role of government remains important, although the scope and purpose of this role may need to be redefined.</w:t>
      </w:r>
    </w:p>
    <w:p w14:paraId="56A26350" w14:textId="77777777" w:rsidR="000E6FB8" w:rsidRPr="000E6FB8" w:rsidRDefault="000E6FB8" w:rsidP="000E6FB8">
      <w:pPr>
        <w:spacing w:after="0" w:line="240" w:lineRule="auto"/>
        <w:textAlignment w:val="center"/>
        <w:rPr>
          <w:rFonts w:ascii="Open Sans" w:eastAsia="Times New Roman" w:hAnsi="Open Sans" w:cs="Open Sans"/>
          <w:color w:val="747374"/>
          <w:sz w:val="24"/>
          <w:szCs w:val="24"/>
          <w:lang w:eastAsia="en-ZA"/>
        </w:rPr>
      </w:pPr>
      <w:r w:rsidRPr="000E6FB8">
        <w:rPr>
          <w:rFonts w:ascii="Open Sans" w:eastAsia="Times New Roman" w:hAnsi="Open Sans" w:cs="Open Sans"/>
          <w:color w:val="747374"/>
          <w:sz w:val="24"/>
          <w:szCs w:val="24"/>
          <w:lang w:eastAsia="en-ZA"/>
        </w:rPr>
        <w:t xml:space="preserve">Author: Giampaolo </w:t>
      </w:r>
      <w:proofErr w:type="spellStart"/>
      <w:r w:rsidRPr="000E6FB8">
        <w:rPr>
          <w:rFonts w:ascii="Open Sans" w:eastAsia="Times New Roman" w:hAnsi="Open Sans" w:cs="Open Sans"/>
          <w:color w:val="747374"/>
          <w:sz w:val="24"/>
          <w:szCs w:val="24"/>
          <w:lang w:eastAsia="en-ZA"/>
        </w:rPr>
        <w:t>Garzarelli</w:t>
      </w:r>
      <w:proofErr w:type="spellEnd"/>
      <w:r w:rsidRPr="000E6FB8">
        <w:rPr>
          <w:rFonts w:ascii="Open Sans" w:eastAsia="Times New Roman" w:hAnsi="Open Sans" w:cs="Open Sans"/>
          <w:color w:val="747374"/>
          <w:sz w:val="24"/>
          <w:szCs w:val="24"/>
          <w:lang w:eastAsia="en-ZA"/>
        </w:rPr>
        <w:t xml:space="preserve">, </w:t>
      </w:r>
      <w:proofErr w:type="spellStart"/>
      <w:r w:rsidRPr="000E6FB8">
        <w:rPr>
          <w:rFonts w:ascii="Open Sans" w:eastAsia="Times New Roman" w:hAnsi="Open Sans" w:cs="Open Sans"/>
          <w:color w:val="747374"/>
          <w:sz w:val="24"/>
          <w:szCs w:val="24"/>
          <w:lang w:eastAsia="en-ZA"/>
        </w:rPr>
        <w:t>Lyndal</w:t>
      </w:r>
      <w:proofErr w:type="spellEnd"/>
      <w:r w:rsidRPr="000E6FB8">
        <w:rPr>
          <w:rFonts w:ascii="Open Sans" w:eastAsia="Times New Roman" w:hAnsi="Open Sans" w:cs="Open Sans"/>
          <w:color w:val="747374"/>
          <w:sz w:val="24"/>
          <w:szCs w:val="24"/>
          <w:lang w:eastAsia="en-ZA"/>
        </w:rPr>
        <w:t xml:space="preserve"> Keeton-</w:t>
      </w:r>
      <w:proofErr w:type="spellStart"/>
      <w:r w:rsidRPr="000E6FB8">
        <w:rPr>
          <w:rFonts w:ascii="Open Sans" w:eastAsia="Times New Roman" w:hAnsi="Open Sans" w:cs="Open Sans"/>
          <w:color w:val="747374"/>
          <w:sz w:val="24"/>
          <w:szCs w:val="24"/>
          <w:lang w:eastAsia="en-ZA"/>
        </w:rPr>
        <w:t>Stolk</w:t>
      </w:r>
      <w:proofErr w:type="spellEnd"/>
      <w:r w:rsidRPr="000E6FB8">
        <w:rPr>
          <w:rFonts w:ascii="Open Sans" w:eastAsia="Times New Roman" w:hAnsi="Open Sans" w:cs="Open Sans"/>
          <w:color w:val="747374"/>
          <w:sz w:val="24"/>
          <w:szCs w:val="24"/>
          <w:lang w:eastAsia="en-ZA"/>
        </w:rPr>
        <w:t xml:space="preserve">, Volker </w:t>
      </w:r>
      <w:proofErr w:type="spellStart"/>
      <w:r w:rsidRPr="000E6FB8">
        <w:rPr>
          <w:rFonts w:ascii="Open Sans" w:eastAsia="Times New Roman" w:hAnsi="Open Sans" w:cs="Open Sans"/>
          <w:color w:val="747374"/>
          <w:sz w:val="24"/>
          <w:szCs w:val="24"/>
          <w:lang w:eastAsia="en-ZA"/>
        </w:rPr>
        <w:t>Schoer</w:t>
      </w:r>
      <w:proofErr w:type="spellEnd"/>
      <w:r w:rsidRPr="000E6FB8">
        <w:rPr>
          <w:rFonts w:ascii="Open Sans" w:eastAsia="Times New Roman" w:hAnsi="Open Sans" w:cs="Open Sans"/>
          <w:color w:val="747374"/>
          <w:sz w:val="24"/>
          <w:szCs w:val="24"/>
          <w:lang w:eastAsia="en-ZA"/>
        </w:rPr>
        <w:t xml:space="preserve"> Year: 2008</w:t>
      </w:r>
    </w:p>
    <w:p w14:paraId="0DB73B62" w14:textId="77777777" w:rsidR="000E6FB8" w:rsidRPr="000E6FB8" w:rsidRDefault="000E6FB8" w:rsidP="000E6FB8"/>
    <w:sectPr w:rsidR="000E6FB8" w:rsidRPr="000E6F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B8"/>
    <w:rsid w:val="000E6F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4462"/>
  <w15:chartTrackingRefBased/>
  <w15:docId w15:val="{99BF72AE-AF07-4090-8A6C-209AB378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6F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4820096">
      <w:bodyDiv w:val="1"/>
      <w:marLeft w:val="0"/>
      <w:marRight w:val="0"/>
      <w:marTop w:val="0"/>
      <w:marBottom w:val="0"/>
      <w:divBdr>
        <w:top w:val="none" w:sz="0" w:space="0" w:color="auto"/>
        <w:left w:val="none" w:sz="0" w:space="0" w:color="auto"/>
        <w:bottom w:val="none" w:sz="0" w:space="0" w:color="auto"/>
        <w:right w:val="none" w:sz="0" w:space="0" w:color="auto"/>
      </w:divBdr>
      <w:divsChild>
        <w:div w:id="237523972">
          <w:marLeft w:val="0"/>
          <w:marRight w:val="0"/>
          <w:marTop w:val="0"/>
          <w:marBottom w:val="0"/>
          <w:divBdr>
            <w:top w:val="none" w:sz="0" w:space="0" w:color="E1E1E1"/>
            <w:left w:val="none" w:sz="0" w:space="0" w:color="E1E1E1"/>
            <w:bottom w:val="single" w:sz="6" w:space="0" w:color="E1E1E1"/>
            <w:right w:val="none" w:sz="0" w:space="0" w:color="E1E1E1"/>
          </w:divBdr>
          <w:divsChild>
            <w:div w:id="428431363">
              <w:marLeft w:val="0"/>
              <w:marRight w:val="0"/>
              <w:marTop w:val="0"/>
              <w:marBottom w:val="204"/>
              <w:divBdr>
                <w:top w:val="none" w:sz="0" w:space="0" w:color="auto"/>
                <w:left w:val="none" w:sz="0" w:space="0" w:color="auto"/>
                <w:bottom w:val="none" w:sz="0" w:space="0" w:color="auto"/>
                <w:right w:val="none" w:sz="0" w:space="0" w:color="auto"/>
              </w:divBdr>
              <w:divsChild>
                <w:div w:id="1821847866">
                  <w:marLeft w:val="0"/>
                  <w:marRight w:val="0"/>
                  <w:marTop w:val="0"/>
                  <w:marBottom w:val="0"/>
                  <w:divBdr>
                    <w:top w:val="none" w:sz="0" w:space="0" w:color="auto"/>
                    <w:left w:val="none" w:sz="0" w:space="0" w:color="auto"/>
                    <w:bottom w:val="none" w:sz="0" w:space="0" w:color="auto"/>
                    <w:right w:val="none" w:sz="0" w:space="0" w:color="auto"/>
                  </w:divBdr>
                  <w:divsChild>
                    <w:div w:id="229972559">
                      <w:marLeft w:val="0"/>
                      <w:marRight w:val="0"/>
                      <w:marTop w:val="0"/>
                      <w:marBottom w:val="0"/>
                      <w:divBdr>
                        <w:top w:val="none" w:sz="0" w:space="0" w:color="auto"/>
                        <w:left w:val="none" w:sz="0" w:space="0" w:color="auto"/>
                        <w:bottom w:val="none" w:sz="0" w:space="0" w:color="auto"/>
                        <w:right w:val="none" w:sz="0" w:space="0" w:color="auto"/>
                      </w:divBdr>
                    </w:div>
                    <w:div w:id="1204948393">
                      <w:marLeft w:val="0"/>
                      <w:marRight w:val="0"/>
                      <w:marTop w:val="60"/>
                      <w:marBottom w:val="0"/>
                      <w:divBdr>
                        <w:top w:val="none" w:sz="0" w:space="0" w:color="auto"/>
                        <w:left w:val="none" w:sz="0" w:space="0" w:color="auto"/>
                        <w:bottom w:val="none" w:sz="0" w:space="0" w:color="auto"/>
                        <w:right w:val="none" w:sz="0" w:space="0" w:color="auto"/>
                      </w:divBdr>
                    </w:div>
                    <w:div w:id="3241708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0501825">
          <w:marLeft w:val="0"/>
          <w:marRight w:val="0"/>
          <w:marTop w:val="204"/>
          <w:marBottom w:val="0"/>
          <w:divBdr>
            <w:top w:val="none" w:sz="0" w:space="0" w:color="E1E1E1"/>
            <w:left w:val="none" w:sz="0" w:space="0" w:color="E1E1E1"/>
            <w:bottom w:val="single" w:sz="6" w:space="0" w:color="E1E1E1"/>
            <w:right w:val="none" w:sz="0" w:space="0" w:color="E1E1E1"/>
          </w:divBdr>
          <w:divsChild>
            <w:div w:id="569580583">
              <w:marLeft w:val="0"/>
              <w:marRight w:val="0"/>
              <w:marTop w:val="0"/>
              <w:marBottom w:val="204"/>
              <w:divBdr>
                <w:top w:val="none" w:sz="0" w:space="0" w:color="auto"/>
                <w:left w:val="none" w:sz="0" w:space="0" w:color="auto"/>
                <w:bottom w:val="none" w:sz="0" w:space="0" w:color="auto"/>
                <w:right w:val="none" w:sz="0" w:space="0" w:color="auto"/>
              </w:divBdr>
              <w:divsChild>
                <w:div w:id="30110178">
                  <w:marLeft w:val="0"/>
                  <w:marRight w:val="0"/>
                  <w:marTop w:val="0"/>
                  <w:marBottom w:val="0"/>
                  <w:divBdr>
                    <w:top w:val="none" w:sz="0" w:space="0" w:color="auto"/>
                    <w:left w:val="none" w:sz="0" w:space="0" w:color="auto"/>
                    <w:bottom w:val="none" w:sz="0" w:space="0" w:color="auto"/>
                    <w:right w:val="none" w:sz="0" w:space="0" w:color="auto"/>
                  </w:divBdr>
                  <w:divsChild>
                    <w:div w:id="935939701">
                      <w:marLeft w:val="0"/>
                      <w:marRight w:val="0"/>
                      <w:marTop w:val="0"/>
                      <w:marBottom w:val="0"/>
                      <w:divBdr>
                        <w:top w:val="none" w:sz="0" w:space="0" w:color="auto"/>
                        <w:left w:val="none" w:sz="0" w:space="0" w:color="auto"/>
                        <w:bottom w:val="none" w:sz="0" w:space="0" w:color="auto"/>
                        <w:right w:val="none" w:sz="0" w:space="0" w:color="auto"/>
                      </w:divBdr>
                    </w:div>
                    <w:div w:id="248272850">
                      <w:marLeft w:val="0"/>
                      <w:marRight w:val="0"/>
                      <w:marTop w:val="60"/>
                      <w:marBottom w:val="0"/>
                      <w:divBdr>
                        <w:top w:val="none" w:sz="0" w:space="0" w:color="auto"/>
                        <w:left w:val="none" w:sz="0" w:space="0" w:color="auto"/>
                        <w:bottom w:val="none" w:sz="0" w:space="0" w:color="auto"/>
                        <w:right w:val="none" w:sz="0" w:space="0" w:color="auto"/>
                      </w:divBdr>
                    </w:div>
                    <w:div w:id="7586747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47153475">
          <w:marLeft w:val="0"/>
          <w:marRight w:val="0"/>
          <w:marTop w:val="204"/>
          <w:marBottom w:val="0"/>
          <w:divBdr>
            <w:top w:val="none" w:sz="0" w:space="0" w:color="E1E1E1"/>
            <w:left w:val="none" w:sz="0" w:space="0" w:color="E1E1E1"/>
            <w:bottom w:val="single" w:sz="6" w:space="0" w:color="E1E1E1"/>
            <w:right w:val="none" w:sz="0" w:space="0" w:color="E1E1E1"/>
          </w:divBdr>
          <w:divsChild>
            <w:div w:id="1300694650">
              <w:marLeft w:val="0"/>
              <w:marRight w:val="0"/>
              <w:marTop w:val="0"/>
              <w:marBottom w:val="204"/>
              <w:divBdr>
                <w:top w:val="none" w:sz="0" w:space="0" w:color="auto"/>
                <w:left w:val="none" w:sz="0" w:space="0" w:color="auto"/>
                <w:bottom w:val="none" w:sz="0" w:space="0" w:color="auto"/>
                <w:right w:val="none" w:sz="0" w:space="0" w:color="auto"/>
              </w:divBdr>
              <w:divsChild>
                <w:div w:id="1058476465">
                  <w:marLeft w:val="0"/>
                  <w:marRight w:val="0"/>
                  <w:marTop w:val="0"/>
                  <w:marBottom w:val="0"/>
                  <w:divBdr>
                    <w:top w:val="none" w:sz="0" w:space="0" w:color="auto"/>
                    <w:left w:val="none" w:sz="0" w:space="0" w:color="auto"/>
                    <w:bottom w:val="none" w:sz="0" w:space="0" w:color="auto"/>
                    <w:right w:val="none" w:sz="0" w:space="0" w:color="auto"/>
                  </w:divBdr>
                  <w:divsChild>
                    <w:div w:id="71632342">
                      <w:marLeft w:val="0"/>
                      <w:marRight w:val="0"/>
                      <w:marTop w:val="0"/>
                      <w:marBottom w:val="0"/>
                      <w:divBdr>
                        <w:top w:val="none" w:sz="0" w:space="0" w:color="auto"/>
                        <w:left w:val="none" w:sz="0" w:space="0" w:color="auto"/>
                        <w:bottom w:val="none" w:sz="0" w:space="0" w:color="auto"/>
                        <w:right w:val="none" w:sz="0" w:space="0" w:color="auto"/>
                      </w:divBdr>
                    </w:div>
                    <w:div w:id="2049330352">
                      <w:marLeft w:val="0"/>
                      <w:marRight w:val="0"/>
                      <w:marTop w:val="60"/>
                      <w:marBottom w:val="0"/>
                      <w:divBdr>
                        <w:top w:val="none" w:sz="0" w:space="0" w:color="auto"/>
                        <w:left w:val="none" w:sz="0" w:space="0" w:color="auto"/>
                        <w:bottom w:val="none" w:sz="0" w:space="0" w:color="auto"/>
                        <w:right w:val="none" w:sz="0" w:space="0" w:color="auto"/>
                      </w:divBdr>
                    </w:div>
                    <w:div w:id="4046472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82962620">
          <w:marLeft w:val="0"/>
          <w:marRight w:val="0"/>
          <w:marTop w:val="204"/>
          <w:marBottom w:val="0"/>
          <w:divBdr>
            <w:top w:val="none" w:sz="0" w:space="0" w:color="E1E1E1"/>
            <w:left w:val="none" w:sz="0" w:space="0" w:color="E1E1E1"/>
            <w:bottom w:val="single" w:sz="6" w:space="0" w:color="E1E1E1"/>
            <w:right w:val="none" w:sz="0" w:space="0" w:color="E1E1E1"/>
          </w:divBdr>
          <w:divsChild>
            <w:div w:id="1908103420">
              <w:marLeft w:val="0"/>
              <w:marRight w:val="0"/>
              <w:marTop w:val="0"/>
              <w:marBottom w:val="204"/>
              <w:divBdr>
                <w:top w:val="none" w:sz="0" w:space="0" w:color="auto"/>
                <w:left w:val="none" w:sz="0" w:space="0" w:color="auto"/>
                <w:bottom w:val="none" w:sz="0" w:space="0" w:color="auto"/>
                <w:right w:val="none" w:sz="0" w:space="0" w:color="auto"/>
              </w:divBdr>
              <w:divsChild>
                <w:div w:id="1040013057">
                  <w:marLeft w:val="0"/>
                  <w:marRight w:val="0"/>
                  <w:marTop w:val="0"/>
                  <w:marBottom w:val="0"/>
                  <w:divBdr>
                    <w:top w:val="none" w:sz="0" w:space="0" w:color="auto"/>
                    <w:left w:val="none" w:sz="0" w:space="0" w:color="auto"/>
                    <w:bottom w:val="none" w:sz="0" w:space="0" w:color="auto"/>
                    <w:right w:val="none" w:sz="0" w:space="0" w:color="auto"/>
                  </w:divBdr>
                  <w:divsChild>
                    <w:div w:id="73481404">
                      <w:marLeft w:val="0"/>
                      <w:marRight w:val="0"/>
                      <w:marTop w:val="0"/>
                      <w:marBottom w:val="0"/>
                      <w:divBdr>
                        <w:top w:val="none" w:sz="0" w:space="0" w:color="auto"/>
                        <w:left w:val="none" w:sz="0" w:space="0" w:color="auto"/>
                        <w:bottom w:val="none" w:sz="0" w:space="0" w:color="auto"/>
                        <w:right w:val="none" w:sz="0" w:space="0" w:color="auto"/>
                      </w:divBdr>
                    </w:div>
                    <w:div w:id="606274478">
                      <w:marLeft w:val="0"/>
                      <w:marRight w:val="0"/>
                      <w:marTop w:val="60"/>
                      <w:marBottom w:val="0"/>
                      <w:divBdr>
                        <w:top w:val="none" w:sz="0" w:space="0" w:color="auto"/>
                        <w:left w:val="none" w:sz="0" w:space="0" w:color="auto"/>
                        <w:bottom w:val="none" w:sz="0" w:space="0" w:color="auto"/>
                        <w:right w:val="none" w:sz="0" w:space="0" w:color="auto"/>
                      </w:divBdr>
                    </w:div>
                    <w:div w:id="6304829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9783099">
          <w:marLeft w:val="0"/>
          <w:marRight w:val="0"/>
          <w:marTop w:val="204"/>
          <w:marBottom w:val="0"/>
          <w:divBdr>
            <w:top w:val="none" w:sz="0" w:space="0" w:color="E1E1E1"/>
            <w:left w:val="none" w:sz="0" w:space="0" w:color="E1E1E1"/>
            <w:bottom w:val="none" w:sz="0" w:space="0" w:color="auto"/>
            <w:right w:val="none" w:sz="0" w:space="0" w:color="E1E1E1"/>
          </w:divBdr>
          <w:divsChild>
            <w:div w:id="434054724">
              <w:marLeft w:val="0"/>
              <w:marRight w:val="0"/>
              <w:marTop w:val="0"/>
              <w:marBottom w:val="0"/>
              <w:divBdr>
                <w:top w:val="none" w:sz="0" w:space="0" w:color="auto"/>
                <w:left w:val="none" w:sz="0" w:space="0" w:color="auto"/>
                <w:bottom w:val="none" w:sz="0" w:space="0" w:color="auto"/>
                <w:right w:val="none" w:sz="0" w:space="0" w:color="auto"/>
              </w:divBdr>
              <w:divsChild>
                <w:div w:id="1262487850">
                  <w:marLeft w:val="0"/>
                  <w:marRight w:val="0"/>
                  <w:marTop w:val="0"/>
                  <w:marBottom w:val="0"/>
                  <w:divBdr>
                    <w:top w:val="none" w:sz="0" w:space="0" w:color="auto"/>
                    <w:left w:val="none" w:sz="0" w:space="0" w:color="auto"/>
                    <w:bottom w:val="none" w:sz="0" w:space="0" w:color="auto"/>
                    <w:right w:val="none" w:sz="0" w:space="0" w:color="auto"/>
                  </w:divBdr>
                  <w:divsChild>
                    <w:div w:id="1932228766">
                      <w:marLeft w:val="0"/>
                      <w:marRight w:val="0"/>
                      <w:marTop w:val="0"/>
                      <w:marBottom w:val="0"/>
                      <w:divBdr>
                        <w:top w:val="none" w:sz="0" w:space="0" w:color="auto"/>
                        <w:left w:val="none" w:sz="0" w:space="0" w:color="auto"/>
                        <w:bottom w:val="none" w:sz="0" w:space="0" w:color="auto"/>
                        <w:right w:val="none" w:sz="0" w:space="0" w:color="auto"/>
                      </w:divBdr>
                    </w:div>
                    <w:div w:id="36440600">
                      <w:marLeft w:val="0"/>
                      <w:marRight w:val="0"/>
                      <w:marTop w:val="60"/>
                      <w:marBottom w:val="0"/>
                      <w:divBdr>
                        <w:top w:val="none" w:sz="0" w:space="0" w:color="auto"/>
                        <w:left w:val="none" w:sz="0" w:space="0" w:color="auto"/>
                        <w:bottom w:val="none" w:sz="0" w:space="0" w:color="auto"/>
                        <w:right w:val="none" w:sz="0" w:space="0" w:color="auto"/>
                      </w:divBdr>
                    </w:div>
                    <w:div w:id="13026868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tac.gov.za/Researchdocs/Workers'%20Compensation%20in%20the%20Republic%20of%20South%20Africa%20(USAID,%202008).pdf" TargetMode="External"/><Relationship Id="rId3" Type="http://schemas.openxmlformats.org/officeDocument/2006/relationships/webSettings" Target="webSettings.xml"/><Relationship Id="rId7" Type="http://schemas.openxmlformats.org/officeDocument/2006/relationships/hyperlink" Target="https://www.gtac.gov.za/Researchdocs/The%20Impact%20of%20Private%20Participation%20and%20Countervailing%20Information%20on%20Disability%20Costs%20(James%20et%20al,%20200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tac.gov.za/Researchdocs/The%20Canada%20Supplementary%20Pension%20Plan%20(Ambachtsheer,%202008).pdf" TargetMode="External"/><Relationship Id="rId5" Type="http://schemas.openxmlformats.org/officeDocument/2006/relationships/hyperlink" Target="https://www.gtac.gov.za/Researchdocs/Risk%20Benefit%20Provision%20through%20Provident%20and%20Pension%20Funds.pdf" TargetMode="External"/><Relationship Id="rId10" Type="http://schemas.openxmlformats.org/officeDocument/2006/relationships/theme" Target="theme/theme1.xml"/><Relationship Id="rId4" Type="http://schemas.openxmlformats.org/officeDocument/2006/relationships/hyperlink" Target="https://www.gtac.gov.za/Researchdocs/A%20Review%20of%20Children's%20Access%20to%20Employment-Based%20Contributing%20Social%20Insurance%20Benefits%20(Villiers%20and%20Giese,%202008).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1242</Words>
  <Characters>7086</Characters>
  <Application>Microsoft Office Word</Application>
  <DocSecurity>0</DocSecurity>
  <Lines>59</Lines>
  <Paragraphs>16</Paragraphs>
  <ScaleCrop>false</ScaleCrop>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Archer</dc:creator>
  <cp:keywords/>
  <dc:description/>
  <cp:lastModifiedBy>Jade Archer</cp:lastModifiedBy>
  <cp:revision>2</cp:revision>
  <dcterms:created xsi:type="dcterms:W3CDTF">2021-09-08T09:42:00Z</dcterms:created>
  <dcterms:modified xsi:type="dcterms:W3CDTF">2021-09-08T09:43:00Z</dcterms:modified>
</cp:coreProperties>
</file>