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4FBC9F" w14:textId="77777777" w:rsidR="002E0B80" w:rsidRPr="002E0B80" w:rsidRDefault="002E0B80" w:rsidP="002E0B80">
      <w:pPr>
        <w:spacing w:after="0" w:line="240" w:lineRule="auto"/>
        <w:textAlignment w:val="center"/>
        <w:rPr>
          <w:rFonts w:ascii="Open Sans" w:eastAsia="Times New Roman" w:hAnsi="Open Sans" w:cs="Open Sans"/>
          <w:b/>
          <w:bCs/>
          <w:color w:val="231F20"/>
          <w:sz w:val="24"/>
          <w:szCs w:val="24"/>
          <w:lang w:eastAsia="en-ZA"/>
        </w:rPr>
      </w:pPr>
      <w:r w:rsidRPr="002E0B80">
        <w:rPr>
          <w:rFonts w:ascii="Open Sans" w:eastAsia="Times New Roman" w:hAnsi="Open Sans" w:cs="Open Sans"/>
          <w:b/>
          <w:bCs/>
          <w:color w:val="231F20"/>
          <w:sz w:val="24"/>
          <w:szCs w:val="24"/>
          <w:lang w:eastAsia="en-ZA"/>
        </w:rPr>
        <w:t xml:space="preserve">International experience </w:t>
      </w:r>
    </w:p>
    <w:p w14:paraId="4D06749B" w14:textId="7A05385A"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4" w:history="1">
        <w:r w:rsidRPr="002E0B80">
          <w:rPr>
            <w:rFonts w:ascii="Open Sans" w:eastAsia="Times New Roman" w:hAnsi="Open Sans" w:cs="Open Sans"/>
            <w:color w:val="0000FF"/>
            <w:sz w:val="24"/>
            <w:szCs w:val="24"/>
            <w:lang w:eastAsia="en-ZA"/>
          </w:rPr>
          <w:br/>
        </w:r>
        <w:r w:rsidRPr="002E0B80">
          <w:rPr>
            <w:rFonts w:ascii="Open Sans" w:eastAsia="Times New Roman" w:hAnsi="Open Sans" w:cs="Open Sans"/>
            <w:color w:val="0000FF"/>
            <w:sz w:val="24"/>
            <w:szCs w:val="24"/>
            <w:u w:val="single"/>
            <w:lang w:eastAsia="en-ZA"/>
          </w:rPr>
          <w:t>A Sustainable and Scalable Approach in Indian Pension Reform</w:t>
        </w:r>
      </w:hyperlink>
    </w:p>
    <w:p w14:paraId="0BB4377A"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India is making sound progress on addressing poverty among people of working age. Continued economic growth, and hence rising wages, could even eliminate poverty among this group. The dominant form of poverty would then be poverty among the elderly, which is particularly challenging to address. Since a simple ‘dole’ system would be too costly, India needs to put in place a sustainable, scalable pension system. With a formal pension system, individuals would save in their working years and accumulate personal pension wealth to help them avoid poverty in old age. Such a reform of the pension system would augment the flow of savings, foster high-quality investment decisions, and help the country attain higher economic growth. However, reforms must be designed well, as pension policy issues are subtle and problems take long to show up. Policy mistakes on pensions could eventually destabilise the entire economy. India is at a remarkable point in its demographic transition. From 2005 to 2030, a substantial decline in the dependency ratio is expected, with a large number of people coming into their working years. This presents a historic opportunity to create a pension system for these cohorts.</w:t>
      </w:r>
    </w:p>
    <w:p w14:paraId="1BC0FCA5"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Ajay Shah Year: 2005</w:t>
      </w:r>
    </w:p>
    <w:p w14:paraId="55A8F7B1"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5" w:history="1">
        <w:r w:rsidRPr="002E0B80">
          <w:rPr>
            <w:rFonts w:ascii="Open Sans" w:eastAsia="Times New Roman" w:hAnsi="Open Sans" w:cs="Open Sans"/>
            <w:color w:val="0000FF"/>
            <w:sz w:val="24"/>
            <w:szCs w:val="24"/>
            <w:u w:val="single"/>
            <w:lang w:eastAsia="en-ZA"/>
          </w:rPr>
          <w:t>Alleviating Structural Poverty in Developing Countries: The Approach of PROGRESA in Mexico</w:t>
        </w:r>
      </w:hyperlink>
    </w:p>
    <w:p w14:paraId="4E333284"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While sustained growth is crucial for reducing poverty, social safety nets play an important role in its alleviation. However, social transfers often fail to reach the most vulnerable groups, constitute a substantial drain on the budget, and may be plagued by high administrative costs, corruption and operational inefficiency. This paper discusses the innovative PROGRESA programme introduced in Mexico in 1997. PROGRESA was built around the objective of social development rather than social assistance. Its transfers were investments in needy households, which recognised people’s ‘right’ to a basic living standard but also their ‘responsibilities’ for achieving this goal. Continued eligibility for benefits was conditional on households investing in the education and health of household members, especially children. The programme was effectively targeted to ensure that benefits reached the poorest households, while administrative costs were kept low. Rigorous evaluation of PROGRESA has shown substantial, and potentially enduring, improvements in human capital outcomes. Options for strengthening such a programme include increasing the role of community actors and ensuring an effective monitoring mechanism. Results from a similar programme in Nicaragua suggest that the approach could potentially be used in countries with much lower levels of per capita income and human capital.</w:t>
      </w:r>
    </w:p>
    <w:p w14:paraId="1D25DD67"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David </w:t>
      </w:r>
      <w:proofErr w:type="spellStart"/>
      <w:r w:rsidRPr="002E0B80">
        <w:rPr>
          <w:rFonts w:ascii="Open Sans" w:eastAsia="Times New Roman" w:hAnsi="Open Sans" w:cs="Open Sans"/>
          <w:color w:val="747374"/>
          <w:sz w:val="24"/>
          <w:szCs w:val="24"/>
          <w:lang w:eastAsia="en-ZA"/>
        </w:rPr>
        <w:t>Coady</w:t>
      </w:r>
      <w:proofErr w:type="spellEnd"/>
      <w:r w:rsidRPr="002E0B80">
        <w:rPr>
          <w:rFonts w:ascii="Open Sans" w:eastAsia="Times New Roman" w:hAnsi="Open Sans" w:cs="Open Sans"/>
          <w:color w:val="747374"/>
          <w:sz w:val="24"/>
          <w:szCs w:val="24"/>
          <w:lang w:eastAsia="en-ZA"/>
        </w:rPr>
        <w:t xml:space="preserve"> Year: 2003</w:t>
      </w:r>
    </w:p>
    <w:p w14:paraId="50AB7E07"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6" w:history="1">
        <w:r w:rsidRPr="002E0B80">
          <w:rPr>
            <w:rFonts w:ascii="Open Sans" w:eastAsia="Times New Roman" w:hAnsi="Open Sans" w:cs="Open Sans"/>
            <w:color w:val="0000FF"/>
            <w:sz w:val="24"/>
            <w:szCs w:val="24"/>
            <w:u w:val="single"/>
            <w:lang w:eastAsia="en-ZA"/>
          </w:rPr>
          <w:t>Australia’s Future Tax System: Retirement Income Consultation Paper</w:t>
        </w:r>
      </w:hyperlink>
    </w:p>
    <w:p w14:paraId="5E0EA291"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The government of Australia appointed a panel to review the retirement income system and obtain public input on important questions. This was part of a comprehensive review of the tax system to deal with challenges such as the ageing of the Australian population. This paper highlights key design issues of the retirement income system on which the panel wanted to encourage consultation. Australia’s three-pillar retirement income system comprises a government-funded old-age pension, compulsory saving (a superannuation guarantee) and voluntary saving. The paper examines how this system is evolving, explains why governments establish retirement systems, and provides international comparisons. It suggests that a good system should be broad, adequate, acceptable, robust, simple, approachable and sustainable, and assesses ways of achieving these goals. It discusses common benchmarks for measuring adequacy, the elements of an acceptable system, the risks affecting the robustness of the </w:t>
      </w:r>
      <w:r w:rsidRPr="002E0B80">
        <w:rPr>
          <w:rFonts w:ascii="Open Sans" w:eastAsia="Times New Roman" w:hAnsi="Open Sans" w:cs="Open Sans"/>
          <w:color w:val="5F5B5C"/>
          <w:sz w:val="20"/>
          <w:szCs w:val="20"/>
          <w:lang w:eastAsia="en-ZA"/>
        </w:rPr>
        <w:lastRenderedPageBreak/>
        <w:t>system, and the complexities around individual choices about retirement savings. Each section summarises key messages from the formal submissions to Australia’s Future Tax System Review in the consultation process leading up to this paper. Questions to stimulate community input to the paper are provided.</w:t>
      </w:r>
    </w:p>
    <w:p w14:paraId="727F6E36"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Australia’s Future Tax System Review Panel Year: 2008</w:t>
      </w:r>
    </w:p>
    <w:p w14:paraId="1DB41025"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7" w:history="1">
        <w:r w:rsidRPr="002E0B80">
          <w:rPr>
            <w:rFonts w:ascii="Open Sans" w:eastAsia="Times New Roman" w:hAnsi="Open Sans" w:cs="Open Sans"/>
            <w:color w:val="0000FF"/>
            <w:sz w:val="24"/>
            <w:szCs w:val="24"/>
            <w:u w:val="single"/>
            <w:lang w:eastAsia="en-ZA"/>
          </w:rPr>
          <w:t>Consumer Confusion: The Choice of AFORE in Mexico</w:t>
        </w:r>
      </w:hyperlink>
    </w:p>
    <w:p w14:paraId="1FDC1F1B"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Following the fiscal and debt crises of the 1980s, pension systems in Latin America faced insolvency. Countries migrated from pay-as-you-go systems to defined contribution regimes based on individual accounts, where retirement funds are managed by the private sector. While the reforms were successful from a macroeconomic perspective, the administered funds seem not to have provided optimal benefits. In general, their fees have been high, promotion and sales expenses seem excessive, and competition among pension fund managers has not fully translated into benefits for consumers. This is due to several factors, including the complexity of the market. Consumers struggle to understand the products and to make sound choices on the basis of price, service levels and returns. The paper assesses the AFORE pension fund manager in Mexico and suggests that efforts to reduce the level of ‘confusion’ and ‘noise’ among consumers would improve competition among fund managers and increase consumer benefits. Consumers need easy access to clear information to make better decisions about pension funds. The 2007 amendments to Mexico’s Savings for Retirement System Law should make the information to choose AFORE more straightforward and thus less confusing. This should in turn result in a more competitive and efficient market.</w:t>
      </w:r>
    </w:p>
    <w:p w14:paraId="5AA2031B"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Roberto </w:t>
      </w:r>
      <w:proofErr w:type="spellStart"/>
      <w:r w:rsidRPr="002E0B80">
        <w:rPr>
          <w:rFonts w:ascii="Open Sans" w:eastAsia="Times New Roman" w:hAnsi="Open Sans" w:cs="Open Sans"/>
          <w:color w:val="747374"/>
          <w:sz w:val="24"/>
          <w:szCs w:val="24"/>
          <w:lang w:eastAsia="en-ZA"/>
        </w:rPr>
        <w:t>Calderoin</w:t>
      </w:r>
      <w:proofErr w:type="spellEnd"/>
      <w:r w:rsidRPr="002E0B80">
        <w:rPr>
          <w:rFonts w:ascii="Open Sans" w:eastAsia="Times New Roman" w:hAnsi="Open Sans" w:cs="Open Sans"/>
          <w:color w:val="747374"/>
          <w:sz w:val="24"/>
          <w:szCs w:val="24"/>
          <w:lang w:eastAsia="en-ZA"/>
        </w:rPr>
        <w:t>-Colin, Enrique E Dominguez, Moises J Schwartz Year: 2008</w:t>
      </w:r>
    </w:p>
    <w:p w14:paraId="145E1AC6"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8" w:history="1">
        <w:r w:rsidRPr="002E0B80">
          <w:rPr>
            <w:rFonts w:ascii="Open Sans" w:eastAsia="Times New Roman" w:hAnsi="Open Sans" w:cs="Open Sans"/>
            <w:color w:val="0000FF"/>
            <w:sz w:val="24"/>
            <w:szCs w:val="24"/>
            <w:u w:val="single"/>
            <w:lang w:eastAsia="en-ZA"/>
          </w:rPr>
          <w:t>Efficiency and Performance of Bulgarian Private Pensions</w:t>
        </w:r>
      </w:hyperlink>
    </w:p>
    <w:p w14:paraId="7935C9FC"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paper assesses the performance and efficiency of the second and third pillars (mandatory and voluntary defined contribution pensions) of the Bulgarian pension system, the design of which is typical of countries in Eastern Europe, Central Asia and Latin America. The Bulgarian authorities have attempted to increase competition and transparency while containing administrative fees in the accumulation part of the pension system; these policies seem to be as effective as those in countries with similar arrangements. The paper discusses ways to improve the efficiency of this phase, including investment rules, price controls, performance benchmarking, switching rules, and automatic assignation of undecided participants. The decumulation part of the pension system fares less well – as with other countries in the region, a complete overhaul of this part of the system would be required. The rules allowing pension funds to offer annuities are poorly designed and may lead to insolvency and/or unintended transfers across different age cohorts, ultimately harming both contributing workers and retirees. In addition, the menu of retirement products is probably too restricted and does not meet the needs of retirees with different characteristics and different degrees of risk aversion.</w:t>
      </w:r>
    </w:p>
    <w:p w14:paraId="1F92C142"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Gregorio </w:t>
      </w:r>
      <w:proofErr w:type="spellStart"/>
      <w:r w:rsidRPr="002E0B80">
        <w:rPr>
          <w:rFonts w:ascii="Open Sans" w:eastAsia="Times New Roman" w:hAnsi="Open Sans" w:cs="Open Sans"/>
          <w:color w:val="747374"/>
          <w:sz w:val="24"/>
          <w:szCs w:val="24"/>
          <w:lang w:eastAsia="en-ZA"/>
        </w:rPr>
        <w:t>Impavido</w:t>
      </w:r>
      <w:proofErr w:type="spellEnd"/>
      <w:r w:rsidRPr="002E0B80">
        <w:rPr>
          <w:rFonts w:ascii="Open Sans" w:eastAsia="Times New Roman" w:hAnsi="Open Sans" w:cs="Open Sans"/>
          <w:color w:val="747374"/>
          <w:sz w:val="24"/>
          <w:szCs w:val="24"/>
          <w:lang w:eastAsia="en-ZA"/>
        </w:rPr>
        <w:t xml:space="preserve"> Year: 2008</w:t>
      </w:r>
    </w:p>
    <w:p w14:paraId="5C0CCC6E"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9" w:history="1">
        <w:r w:rsidRPr="002E0B80">
          <w:rPr>
            <w:rFonts w:ascii="Open Sans" w:eastAsia="Times New Roman" w:hAnsi="Open Sans" w:cs="Open Sans"/>
            <w:color w:val="0000FF"/>
            <w:sz w:val="24"/>
            <w:szCs w:val="24"/>
            <w:u w:val="single"/>
            <w:lang w:eastAsia="en-ZA"/>
          </w:rPr>
          <w:t>Evaluating Welfare Reform in the United States</w:t>
        </w:r>
      </w:hyperlink>
    </w:p>
    <w:p w14:paraId="720B6E6D"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In the 1990s, the United States fundamentally changed the structure of its public assistance programmes to low-income families. This article reviews these changes and the body of research evaluating their impact. It finds that the changes influenced economic behaviour and well-being in a variety of ways. While it is too early to draw final conclusions about any long-term effects, caseloads declined significantly and labour force participation among less-skilled mothers increased. Were these results due to a strong economy, programme reform, or their interactive effects? The debate continues. At least in the late 1990s, these changes in behaviour occurred along with moderate increases in cash income and moderate declines in poverty among less-</w:t>
      </w:r>
      <w:r w:rsidRPr="002E0B80">
        <w:rPr>
          <w:rFonts w:ascii="Open Sans" w:eastAsia="Times New Roman" w:hAnsi="Open Sans" w:cs="Open Sans"/>
          <w:color w:val="5F5B5C"/>
          <w:sz w:val="20"/>
          <w:szCs w:val="20"/>
          <w:lang w:eastAsia="en-ZA"/>
        </w:rPr>
        <w:lastRenderedPageBreak/>
        <w:t>skilled, single-mother families. These positive outcomes were more likely to occur in ‘financial incentive programmes’, which provided financial incentives to work while also mandating strong work efforts. In contrast, the mandatory employment programmes of an earlier era increased labour supply but seemed to have few positive effects on income (as earnings gains offset benefits losses). The paper concludes with a call for more research on the long-term impacts of these reforms.</w:t>
      </w:r>
    </w:p>
    <w:p w14:paraId="3B983CF7"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Rebecca M. Blank Year: 2002</w:t>
      </w:r>
    </w:p>
    <w:p w14:paraId="5A67A2D3"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0" w:history="1">
        <w:r w:rsidRPr="002E0B80">
          <w:rPr>
            <w:rFonts w:ascii="Open Sans" w:eastAsia="Times New Roman" w:hAnsi="Open Sans" w:cs="Open Sans"/>
            <w:color w:val="0000FF"/>
            <w:sz w:val="24"/>
            <w:szCs w:val="24"/>
            <w:u w:val="single"/>
            <w:lang w:eastAsia="en-ZA"/>
          </w:rPr>
          <w:t xml:space="preserve">Household Income </w:t>
        </w:r>
        <w:proofErr w:type="gramStart"/>
        <w:r w:rsidRPr="002E0B80">
          <w:rPr>
            <w:rFonts w:ascii="Open Sans" w:eastAsia="Times New Roman" w:hAnsi="Open Sans" w:cs="Open Sans"/>
            <w:color w:val="0000FF"/>
            <w:sz w:val="24"/>
            <w:szCs w:val="24"/>
            <w:u w:val="single"/>
            <w:lang w:eastAsia="en-ZA"/>
          </w:rPr>
          <w:t>As</w:t>
        </w:r>
        <w:proofErr w:type="gramEnd"/>
        <w:r w:rsidRPr="002E0B80">
          <w:rPr>
            <w:rFonts w:ascii="Open Sans" w:eastAsia="Times New Roman" w:hAnsi="Open Sans" w:cs="Open Sans"/>
            <w:color w:val="0000FF"/>
            <w:sz w:val="24"/>
            <w:szCs w:val="24"/>
            <w:u w:val="single"/>
            <w:lang w:eastAsia="en-ZA"/>
          </w:rPr>
          <w:t xml:space="preserve"> A Determinant of Child </w:t>
        </w:r>
        <w:proofErr w:type="spellStart"/>
        <w:r w:rsidRPr="002E0B80">
          <w:rPr>
            <w:rFonts w:ascii="Open Sans" w:eastAsia="Times New Roman" w:hAnsi="Open Sans" w:cs="Open Sans"/>
            <w:color w:val="0000FF"/>
            <w:sz w:val="24"/>
            <w:szCs w:val="24"/>
            <w:u w:val="single"/>
            <w:lang w:eastAsia="en-ZA"/>
          </w:rPr>
          <w:t>Labor</w:t>
        </w:r>
        <w:proofErr w:type="spellEnd"/>
        <w:r w:rsidRPr="002E0B80">
          <w:rPr>
            <w:rFonts w:ascii="Open Sans" w:eastAsia="Times New Roman" w:hAnsi="Open Sans" w:cs="Open Sans"/>
            <w:color w:val="0000FF"/>
            <w:sz w:val="24"/>
            <w:szCs w:val="24"/>
            <w:u w:val="single"/>
            <w:lang w:eastAsia="en-ZA"/>
          </w:rPr>
          <w:t xml:space="preserve"> and School </w:t>
        </w:r>
        <w:proofErr w:type="spellStart"/>
        <w:r w:rsidRPr="002E0B80">
          <w:rPr>
            <w:rFonts w:ascii="Open Sans" w:eastAsia="Times New Roman" w:hAnsi="Open Sans" w:cs="Open Sans"/>
            <w:color w:val="0000FF"/>
            <w:sz w:val="24"/>
            <w:szCs w:val="24"/>
            <w:u w:val="single"/>
            <w:lang w:eastAsia="en-ZA"/>
          </w:rPr>
          <w:t>Enrollment</w:t>
        </w:r>
        <w:proofErr w:type="spellEnd"/>
        <w:r w:rsidRPr="002E0B80">
          <w:rPr>
            <w:rFonts w:ascii="Open Sans" w:eastAsia="Times New Roman" w:hAnsi="Open Sans" w:cs="Open Sans"/>
            <w:color w:val="0000FF"/>
            <w:sz w:val="24"/>
            <w:szCs w:val="24"/>
            <w:u w:val="single"/>
            <w:lang w:eastAsia="en-ZA"/>
          </w:rPr>
          <w:t xml:space="preserve"> in Brazil: Evidence From A Social Security Reform</w:t>
        </w:r>
      </w:hyperlink>
    </w:p>
    <w:p w14:paraId="54DE6359"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paper studies the effects of household income on labour participation and school enrolment of children aged 10–14 in Brazil, using a social security reform as a source of exogenous variation in household income. The reform in question was focused on rural recipients and comprised the following elements: (</w:t>
      </w:r>
      <w:proofErr w:type="spellStart"/>
      <w:r w:rsidRPr="002E0B80">
        <w:rPr>
          <w:rFonts w:ascii="Open Sans" w:eastAsia="Times New Roman" w:hAnsi="Open Sans" w:cs="Open Sans"/>
          <w:color w:val="5F5B5C"/>
          <w:sz w:val="20"/>
          <w:szCs w:val="20"/>
          <w:lang w:eastAsia="en-ZA"/>
        </w:rPr>
        <w:t>i</w:t>
      </w:r>
      <w:proofErr w:type="spellEnd"/>
      <w:r w:rsidRPr="002E0B80">
        <w:rPr>
          <w:rFonts w:ascii="Open Sans" w:eastAsia="Times New Roman" w:hAnsi="Open Sans" w:cs="Open Sans"/>
          <w:color w:val="5F5B5C"/>
          <w:sz w:val="20"/>
          <w:szCs w:val="20"/>
          <w:lang w:eastAsia="en-ZA"/>
        </w:rPr>
        <w:t>) it reduced the minimum eligibility age for old-age benefits from 65 to 60 for males and 55 for females; (ii) it ended a rule that only one person per household would be eligible for benefits; and (iii) it doubled the size of benefits to equal the minimum wage. Estimates suggest that after the reforms, the gap between actual and full school enrolment was reduced by 20% for girls in the same household as an elderly person benefiting from the reform. Girls’ labour participation rates decreased as income from the benefit increased, but only when the benefits were received by an elderly woman. The effects on boys’ enrolment rates and labour participation were smaller and statistically insignificant. The estimates also imply that cash benefits alone are not a cost-effective policy to increase school enrolment or reduce child labour.</w:t>
      </w:r>
    </w:p>
    <w:p w14:paraId="72964058"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w:t>
      </w:r>
      <w:proofErr w:type="spellStart"/>
      <w:r w:rsidRPr="002E0B80">
        <w:rPr>
          <w:rFonts w:ascii="Open Sans" w:eastAsia="Times New Roman" w:hAnsi="Open Sans" w:cs="Open Sans"/>
          <w:color w:val="747374"/>
          <w:sz w:val="24"/>
          <w:szCs w:val="24"/>
          <w:lang w:eastAsia="en-ZA"/>
        </w:rPr>
        <w:t>Irineu</w:t>
      </w:r>
      <w:proofErr w:type="spellEnd"/>
      <w:r w:rsidRPr="002E0B80">
        <w:rPr>
          <w:rFonts w:ascii="Open Sans" w:eastAsia="Times New Roman" w:hAnsi="Open Sans" w:cs="Open Sans"/>
          <w:color w:val="747374"/>
          <w:sz w:val="24"/>
          <w:szCs w:val="24"/>
          <w:lang w:eastAsia="en-ZA"/>
        </w:rPr>
        <w:t xml:space="preserve"> Evangelista de Carvalho Filho Year: 2009</w:t>
      </w:r>
    </w:p>
    <w:p w14:paraId="092F6935"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1" w:history="1">
        <w:r w:rsidRPr="002E0B80">
          <w:rPr>
            <w:rFonts w:ascii="Open Sans" w:eastAsia="Times New Roman" w:hAnsi="Open Sans" w:cs="Open Sans"/>
            <w:color w:val="0000FF"/>
            <w:sz w:val="24"/>
            <w:szCs w:val="24"/>
            <w:u w:val="single"/>
            <w:lang w:eastAsia="en-ZA"/>
          </w:rPr>
          <w:t>Inequality, Poverty and Social Policy: Recent Trends in Chile</w:t>
        </w:r>
      </w:hyperlink>
    </w:p>
    <w:p w14:paraId="7AE3C5D5"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report outlines the main trends in income distribution and poverty in Chile, as well as the role of social policy in these areas. It comprises five sections. First, it discusses recent trends in income inequality and poverty, including a brief overview of the available data. Second, it describes Chile’s social protection programmes, including coverage, financing and distributional impact. The third section examines how social policy has affected poverty reduction in recent decades; this is followed by an analysis of the relative stability of income inequality and its relation to public policy instruments. It then presents future trends in social policy and their potential impact on inequality and poverty. The report suggests that social policy in Chile lacks instruments for directly reducing income inequality. A range of initiatives are being developed that represent significant innovations: an income transfer for older people from the poorest 60% of the population; a negative income tax and an extension of child benefits for households from the poorest quintile; an increase of 50% in education funding for children from the poorest 40% of the population; and a development policy for children under 5 in the public health system.</w:t>
      </w:r>
    </w:p>
    <w:p w14:paraId="0F296355"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Osvaldo </w:t>
      </w:r>
      <w:proofErr w:type="spellStart"/>
      <w:r w:rsidRPr="002E0B80">
        <w:rPr>
          <w:rFonts w:ascii="Open Sans" w:eastAsia="Times New Roman" w:hAnsi="Open Sans" w:cs="Open Sans"/>
          <w:color w:val="747374"/>
          <w:sz w:val="24"/>
          <w:szCs w:val="24"/>
          <w:lang w:eastAsia="en-ZA"/>
        </w:rPr>
        <w:t>Larrañaga</w:t>
      </w:r>
      <w:proofErr w:type="spellEnd"/>
      <w:r w:rsidRPr="002E0B80">
        <w:rPr>
          <w:rFonts w:ascii="Open Sans" w:eastAsia="Times New Roman" w:hAnsi="Open Sans" w:cs="Open Sans"/>
          <w:color w:val="747374"/>
          <w:sz w:val="24"/>
          <w:szCs w:val="24"/>
          <w:lang w:eastAsia="en-ZA"/>
        </w:rPr>
        <w:t xml:space="preserve"> Year: 2009</w:t>
      </w:r>
    </w:p>
    <w:p w14:paraId="41D47D89"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2" w:history="1">
        <w:r w:rsidRPr="002E0B80">
          <w:rPr>
            <w:rFonts w:ascii="Open Sans" w:eastAsia="Times New Roman" w:hAnsi="Open Sans" w:cs="Open Sans"/>
            <w:color w:val="0000FF"/>
            <w:sz w:val="24"/>
            <w:szCs w:val="24"/>
            <w:u w:val="single"/>
            <w:lang w:eastAsia="en-ZA"/>
          </w:rPr>
          <w:t>New strategies for old-age income security in low income countries</w:t>
        </w:r>
      </w:hyperlink>
    </w:p>
    <w:p w14:paraId="0FE0B974"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The paper discusses strategies to provide old-age security in low-income countries, as demographic, social and economic transformations increase the need for income support. Non-contributory pensions and poverty reduction programmes providing regular income transfers to poor groups have proved successful in these countries. While few developing countries have non-contributory pension schemes, in the last decade several countries in southern Africa (e.g. Botswana, Lesotho and Swaziland), Latin America (e.g. Bolivia) and South Asia (e.g. India, Bangladesh and Nepal) have introduced them. Countries with existing non-contributory pension schemes have strengthened them (e.g. Argentina, Brazil, Chile and South Africa). Given the strong correlation between old age and poverty and vulnerability, poverty reduction </w:t>
      </w:r>
      <w:r w:rsidRPr="002E0B80">
        <w:rPr>
          <w:rFonts w:ascii="Open Sans" w:eastAsia="Times New Roman" w:hAnsi="Open Sans" w:cs="Open Sans"/>
          <w:color w:val="5F5B5C"/>
          <w:sz w:val="20"/>
          <w:szCs w:val="20"/>
          <w:lang w:eastAsia="en-ZA"/>
        </w:rPr>
        <w:lastRenderedPageBreak/>
        <w:t>programmes relying on regular income transfers and targeting the poorest can provide income security to the elderly. The paper discusses three challenges in this regard: (</w:t>
      </w:r>
      <w:proofErr w:type="spellStart"/>
      <w:r w:rsidRPr="002E0B80">
        <w:rPr>
          <w:rFonts w:ascii="Open Sans" w:eastAsia="Times New Roman" w:hAnsi="Open Sans" w:cs="Open Sans"/>
          <w:color w:val="5F5B5C"/>
          <w:sz w:val="20"/>
          <w:szCs w:val="20"/>
          <w:lang w:eastAsia="en-ZA"/>
        </w:rPr>
        <w:t>i</w:t>
      </w:r>
      <w:proofErr w:type="spellEnd"/>
      <w:r w:rsidRPr="002E0B80">
        <w:rPr>
          <w:rFonts w:ascii="Open Sans" w:eastAsia="Times New Roman" w:hAnsi="Open Sans" w:cs="Open Sans"/>
          <w:color w:val="5F5B5C"/>
          <w:sz w:val="20"/>
          <w:szCs w:val="20"/>
          <w:lang w:eastAsia="en-ZA"/>
        </w:rPr>
        <w:t>) the need for innovative resource mobilisation strategies; (ii) the need for wide coverage of contingencies in non-contributory pension schemes, including survivor protection; and (iii) the need to integrate contributory and non-contributory programmes. It finds that integrating contributory and non-contributory programmes providing old-age income security is fundamental not only to the evolution of these programmes but also to the future of social security systems in developing countries.</w:t>
      </w:r>
    </w:p>
    <w:p w14:paraId="3B3751F6"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Armando Barrientos Year: 2007</w:t>
      </w:r>
    </w:p>
    <w:p w14:paraId="54501465"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3" w:history="1">
        <w:r w:rsidRPr="002E0B80">
          <w:rPr>
            <w:rFonts w:ascii="Open Sans" w:eastAsia="Times New Roman" w:hAnsi="Open Sans" w:cs="Open Sans"/>
            <w:color w:val="0000FF"/>
            <w:sz w:val="24"/>
            <w:szCs w:val="24"/>
            <w:u w:val="single"/>
            <w:lang w:eastAsia="en-ZA"/>
          </w:rPr>
          <w:t xml:space="preserve">The Nuts and Bolts of Brazil’s Bolsa </w:t>
        </w:r>
        <w:proofErr w:type="spellStart"/>
        <w:r w:rsidRPr="002E0B80">
          <w:rPr>
            <w:rFonts w:ascii="Open Sans" w:eastAsia="Times New Roman" w:hAnsi="Open Sans" w:cs="Open Sans"/>
            <w:color w:val="0000FF"/>
            <w:sz w:val="24"/>
            <w:szCs w:val="24"/>
            <w:u w:val="single"/>
            <w:lang w:eastAsia="en-ZA"/>
          </w:rPr>
          <w:t>Família</w:t>
        </w:r>
        <w:proofErr w:type="spellEnd"/>
        <w:r w:rsidRPr="002E0B80">
          <w:rPr>
            <w:rFonts w:ascii="Open Sans" w:eastAsia="Times New Roman" w:hAnsi="Open Sans" w:cs="Open Sans"/>
            <w:color w:val="0000FF"/>
            <w:sz w:val="24"/>
            <w:szCs w:val="24"/>
            <w:u w:val="single"/>
            <w:lang w:eastAsia="en-ZA"/>
          </w:rPr>
          <w:t xml:space="preserve"> Program: Implementing Conditional Cash Transfers in a Decentralized Context</w:t>
        </w:r>
      </w:hyperlink>
    </w:p>
    <w:p w14:paraId="1F2B5237"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This paper is one in a series of World Bank Working Papers that document the experience of Brazil’s Bolsa </w:t>
      </w:r>
      <w:proofErr w:type="spellStart"/>
      <w:r w:rsidRPr="002E0B80">
        <w:rPr>
          <w:rFonts w:ascii="Open Sans" w:eastAsia="Times New Roman" w:hAnsi="Open Sans" w:cs="Open Sans"/>
          <w:color w:val="5F5B5C"/>
          <w:sz w:val="20"/>
          <w:szCs w:val="20"/>
          <w:lang w:eastAsia="en-ZA"/>
        </w:rPr>
        <w:t>Família</w:t>
      </w:r>
      <w:proofErr w:type="spellEnd"/>
      <w:r w:rsidRPr="002E0B80">
        <w:rPr>
          <w:rFonts w:ascii="Open Sans" w:eastAsia="Times New Roman" w:hAnsi="Open Sans" w:cs="Open Sans"/>
          <w:color w:val="5F5B5C"/>
          <w:sz w:val="20"/>
          <w:szCs w:val="20"/>
          <w:lang w:eastAsia="en-ZA"/>
        </w:rPr>
        <w:t xml:space="preserve"> programme. As the largest conditional cash transfer in the developing world, the programme has attracted significant attention both in Brazil and beyond. This paper highlights the key ‘nuts and bolts’ of designing and implementing the programme in Brazil’s decentralised context. Like other conditional cash transfers, Bolsa </w:t>
      </w:r>
      <w:proofErr w:type="spellStart"/>
      <w:r w:rsidRPr="002E0B80">
        <w:rPr>
          <w:rFonts w:ascii="Open Sans" w:eastAsia="Times New Roman" w:hAnsi="Open Sans" w:cs="Open Sans"/>
          <w:color w:val="5F5B5C"/>
          <w:sz w:val="20"/>
          <w:szCs w:val="20"/>
          <w:lang w:eastAsia="en-ZA"/>
        </w:rPr>
        <w:t>Família</w:t>
      </w:r>
      <w:proofErr w:type="spellEnd"/>
      <w:r w:rsidRPr="002E0B80">
        <w:rPr>
          <w:rFonts w:ascii="Open Sans" w:eastAsia="Times New Roman" w:hAnsi="Open Sans" w:cs="Open Sans"/>
          <w:color w:val="5F5B5C"/>
          <w:sz w:val="20"/>
          <w:szCs w:val="20"/>
          <w:lang w:eastAsia="en-ZA"/>
        </w:rPr>
        <w:t xml:space="preserve"> seeks to help (</w:t>
      </w:r>
      <w:proofErr w:type="spellStart"/>
      <w:r w:rsidRPr="002E0B80">
        <w:rPr>
          <w:rFonts w:ascii="Open Sans" w:eastAsia="Times New Roman" w:hAnsi="Open Sans" w:cs="Open Sans"/>
          <w:color w:val="5F5B5C"/>
          <w:sz w:val="20"/>
          <w:szCs w:val="20"/>
          <w:lang w:eastAsia="en-ZA"/>
        </w:rPr>
        <w:t>i</w:t>
      </w:r>
      <w:proofErr w:type="spellEnd"/>
      <w:r w:rsidRPr="002E0B80">
        <w:rPr>
          <w:rFonts w:ascii="Open Sans" w:eastAsia="Times New Roman" w:hAnsi="Open Sans" w:cs="Open Sans"/>
          <w:color w:val="5F5B5C"/>
          <w:sz w:val="20"/>
          <w:szCs w:val="20"/>
          <w:lang w:eastAsia="en-ZA"/>
        </w:rPr>
        <w:t>) reduce poverty and inequality, by providing a minimum level of income for extremely poor families; and (ii) break the intergenerational transmission of poverty by conditioning these transfers on beneficiary compliance with human capital requirements (e.g. school attendance, vaccines and prenatal visits). The programme also seeks to empower beneficiaries by linking them to other complementary services. This paper highlights key features of the programme, including its role as a reform programme, its size and expansion, its accurate targeting and demonstrated impacts, performance-based management mechanisms, and its role as a unifying force in social policy. It also considers priority actions for strengthening the basic architecture of the programme (e.g. enhancing the monitoring of conditionalities) and for future innovations (e.g. bonuses for children completing a grade or linking beneficiaries to complementary services).</w:t>
      </w:r>
    </w:p>
    <w:p w14:paraId="5BFDD48E"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Kathy </w:t>
      </w:r>
      <w:proofErr w:type="spellStart"/>
      <w:r w:rsidRPr="002E0B80">
        <w:rPr>
          <w:rFonts w:ascii="Open Sans" w:eastAsia="Times New Roman" w:hAnsi="Open Sans" w:cs="Open Sans"/>
          <w:color w:val="747374"/>
          <w:sz w:val="24"/>
          <w:szCs w:val="24"/>
          <w:lang w:eastAsia="en-ZA"/>
        </w:rPr>
        <w:t>Lindert</w:t>
      </w:r>
      <w:proofErr w:type="spellEnd"/>
      <w:r w:rsidRPr="002E0B80">
        <w:rPr>
          <w:rFonts w:ascii="Open Sans" w:eastAsia="Times New Roman" w:hAnsi="Open Sans" w:cs="Open Sans"/>
          <w:color w:val="747374"/>
          <w:sz w:val="24"/>
          <w:szCs w:val="24"/>
          <w:lang w:eastAsia="en-ZA"/>
        </w:rPr>
        <w:t xml:space="preserve">, Anja Linder, Jason Hobbs, </w:t>
      </w:r>
      <w:proofErr w:type="spellStart"/>
      <w:r w:rsidRPr="002E0B80">
        <w:rPr>
          <w:rFonts w:ascii="Open Sans" w:eastAsia="Times New Roman" w:hAnsi="Open Sans" w:cs="Open Sans"/>
          <w:color w:val="747374"/>
          <w:sz w:val="24"/>
          <w:szCs w:val="24"/>
          <w:lang w:eastAsia="en-ZA"/>
        </w:rPr>
        <w:t>Bénédicte</w:t>
      </w:r>
      <w:proofErr w:type="spellEnd"/>
      <w:r w:rsidRPr="002E0B80">
        <w:rPr>
          <w:rFonts w:ascii="Open Sans" w:eastAsia="Times New Roman" w:hAnsi="Open Sans" w:cs="Open Sans"/>
          <w:color w:val="747374"/>
          <w:sz w:val="24"/>
          <w:szCs w:val="24"/>
          <w:lang w:eastAsia="en-ZA"/>
        </w:rPr>
        <w:t xml:space="preserve"> de la </w:t>
      </w:r>
      <w:proofErr w:type="spellStart"/>
      <w:r w:rsidRPr="002E0B80">
        <w:rPr>
          <w:rFonts w:ascii="Open Sans" w:eastAsia="Times New Roman" w:hAnsi="Open Sans" w:cs="Open Sans"/>
          <w:color w:val="747374"/>
          <w:sz w:val="24"/>
          <w:szCs w:val="24"/>
          <w:lang w:eastAsia="en-ZA"/>
        </w:rPr>
        <w:t>Brière</w:t>
      </w:r>
      <w:proofErr w:type="spellEnd"/>
      <w:r w:rsidRPr="002E0B80">
        <w:rPr>
          <w:rFonts w:ascii="Open Sans" w:eastAsia="Times New Roman" w:hAnsi="Open Sans" w:cs="Open Sans"/>
          <w:color w:val="747374"/>
          <w:sz w:val="24"/>
          <w:szCs w:val="24"/>
          <w:lang w:eastAsia="en-ZA"/>
        </w:rPr>
        <w:t xml:space="preserve"> Year: 2007</w:t>
      </w:r>
    </w:p>
    <w:p w14:paraId="33D03DDA"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4" w:history="1">
        <w:r w:rsidRPr="002E0B80">
          <w:rPr>
            <w:rFonts w:ascii="Open Sans" w:eastAsia="Times New Roman" w:hAnsi="Open Sans" w:cs="Open Sans"/>
            <w:color w:val="0000FF"/>
            <w:sz w:val="24"/>
            <w:szCs w:val="24"/>
            <w:u w:val="single"/>
            <w:lang w:eastAsia="en-ZA"/>
          </w:rPr>
          <w:t>Overview of Social Insurance in Sweden</w:t>
        </w:r>
      </w:hyperlink>
    </w:p>
    <w:p w14:paraId="56E1AE1C"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This set of slides discusses the system of social insurance in Sweden. The system covers the entire population of Sweden, provides both basic protection and income-related benefits, and is financed through a mix of contributions and general tax revenues. It provides social security in all phases of the life cycle, including support to families with children, sickness and disability insurance, unemployment insurance, pensions, student allowances, healthcare, and social assistance. The categories of assistance include social insurance payments (income replacement), guaranteed levels (e.g. pensions, disability and unemployment), means-tested allowances (e.g. social assistance and housing), non-means-tested allowances (e.g. child support) and universal healthcare (with small co-payments). The Swedish Social Insurance Agency, </w:t>
      </w:r>
      <w:proofErr w:type="spellStart"/>
      <w:r w:rsidRPr="002E0B80">
        <w:rPr>
          <w:rFonts w:ascii="Open Sans" w:eastAsia="Times New Roman" w:hAnsi="Open Sans" w:cs="Open Sans"/>
          <w:color w:val="5F5B5C"/>
          <w:sz w:val="20"/>
          <w:szCs w:val="20"/>
          <w:lang w:eastAsia="en-ZA"/>
        </w:rPr>
        <w:t>Försäkringskassan</w:t>
      </w:r>
      <w:proofErr w:type="spellEnd"/>
      <w:r w:rsidRPr="002E0B80">
        <w:rPr>
          <w:rFonts w:ascii="Open Sans" w:eastAsia="Times New Roman" w:hAnsi="Open Sans" w:cs="Open Sans"/>
          <w:color w:val="5F5B5C"/>
          <w:sz w:val="20"/>
          <w:szCs w:val="20"/>
          <w:lang w:eastAsia="en-ZA"/>
        </w:rPr>
        <w:t xml:space="preserve">, provides 54 million </w:t>
      </w:r>
      <w:proofErr w:type="spellStart"/>
      <w:r w:rsidRPr="002E0B80">
        <w:rPr>
          <w:rFonts w:ascii="Open Sans" w:eastAsia="Times New Roman" w:hAnsi="Open Sans" w:cs="Open Sans"/>
          <w:color w:val="5F5B5C"/>
          <w:sz w:val="20"/>
          <w:szCs w:val="20"/>
          <w:lang w:eastAsia="en-ZA"/>
        </w:rPr>
        <w:t>payouts</w:t>
      </w:r>
      <w:proofErr w:type="spellEnd"/>
      <w:r w:rsidRPr="002E0B80">
        <w:rPr>
          <w:rFonts w:ascii="Open Sans" w:eastAsia="Times New Roman" w:hAnsi="Open Sans" w:cs="Open Sans"/>
          <w:color w:val="5F5B5C"/>
          <w:sz w:val="20"/>
          <w:szCs w:val="20"/>
          <w:lang w:eastAsia="en-ZA"/>
        </w:rPr>
        <w:t xml:space="preserve"> a year and employs 12 900 people.</w:t>
      </w:r>
    </w:p>
    <w:p w14:paraId="2AE140D0"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w:t>
      </w:r>
      <w:proofErr w:type="spellStart"/>
      <w:r w:rsidRPr="002E0B80">
        <w:rPr>
          <w:rFonts w:ascii="Open Sans" w:eastAsia="Times New Roman" w:hAnsi="Open Sans" w:cs="Open Sans"/>
          <w:color w:val="747374"/>
          <w:sz w:val="24"/>
          <w:szCs w:val="24"/>
          <w:lang w:eastAsia="en-ZA"/>
        </w:rPr>
        <w:t>Försäkringskassan</w:t>
      </w:r>
      <w:proofErr w:type="spellEnd"/>
      <w:r w:rsidRPr="002E0B80">
        <w:rPr>
          <w:rFonts w:ascii="Open Sans" w:eastAsia="Times New Roman" w:hAnsi="Open Sans" w:cs="Open Sans"/>
          <w:color w:val="747374"/>
          <w:sz w:val="24"/>
          <w:szCs w:val="24"/>
          <w:lang w:eastAsia="en-ZA"/>
        </w:rPr>
        <w:t xml:space="preserve"> Year:</w:t>
      </w:r>
    </w:p>
    <w:p w14:paraId="1E8040D5"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5" w:history="1">
        <w:r w:rsidRPr="002E0B80">
          <w:rPr>
            <w:rFonts w:ascii="Open Sans" w:eastAsia="Times New Roman" w:hAnsi="Open Sans" w:cs="Open Sans"/>
            <w:color w:val="0000FF"/>
            <w:sz w:val="24"/>
            <w:szCs w:val="24"/>
            <w:u w:val="single"/>
            <w:lang w:eastAsia="en-ZA"/>
          </w:rPr>
          <w:t>Pension Reform and Macroeconomic Stability in Latin America</w:t>
        </w:r>
      </w:hyperlink>
    </w:p>
    <w:p w14:paraId="3943F9FB"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Many Latin American countries have undertaken important pension reforms. Following reforms in Chile, they adopted variants of a fully funded, privately managed, defined contribution retirement system based on individual accounts. These reforms aimed to improve income security for retirees, enhance fiscal sustainability, and support growth and the development of local securities markets. Chile’s reforms have been a success, but other countries have had mixed results so far. This is partly because these reforms have not had time to bear fruit, but </w:t>
      </w:r>
      <w:r w:rsidRPr="002E0B80">
        <w:rPr>
          <w:rFonts w:ascii="Open Sans" w:eastAsia="Times New Roman" w:hAnsi="Open Sans" w:cs="Open Sans"/>
          <w:color w:val="5F5B5C"/>
          <w:sz w:val="20"/>
          <w:szCs w:val="20"/>
          <w:lang w:eastAsia="en-ZA"/>
        </w:rPr>
        <w:lastRenderedPageBreak/>
        <w:t>also because these countries had less scope for introducing supporting structural reforms. This paper reviews the macroeconomic aspects of pension reforms in Latin America, focusing on financial market stability and fiscal sustainability. It finds that the concentration of pension fund portfolios in government bonds remains high, and that the lack of new investment alternatives has distorted asset prices. While some countries have gradually liberalised investments abroad, they remain wary of the impact on foreign currency markets. The fiscal costs of the transition to funded systems have been higher than expected and have contributed to high debt levels. The paper highlights the importance of coordinating changes in portfolio limits with debt management policies and measures to develop securities markets.</w:t>
      </w:r>
    </w:p>
    <w:p w14:paraId="7FD9DA69"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Jorge </w:t>
      </w:r>
      <w:proofErr w:type="spellStart"/>
      <w:r w:rsidRPr="002E0B80">
        <w:rPr>
          <w:rFonts w:ascii="Open Sans" w:eastAsia="Times New Roman" w:hAnsi="Open Sans" w:cs="Open Sans"/>
          <w:color w:val="747374"/>
          <w:sz w:val="24"/>
          <w:szCs w:val="24"/>
          <w:lang w:eastAsia="en-ZA"/>
        </w:rPr>
        <w:t>Roldos</w:t>
      </w:r>
      <w:proofErr w:type="spellEnd"/>
      <w:r w:rsidRPr="002E0B80">
        <w:rPr>
          <w:rFonts w:ascii="Open Sans" w:eastAsia="Times New Roman" w:hAnsi="Open Sans" w:cs="Open Sans"/>
          <w:color w:val="747374"/>
          <w:sz w:val="24"/>
          <w:szCs w:val="24"/>
          <w:lang w:eastAsia="en-ZA"/>
        </w:rPr>
        <w:t xml:space="preserve"> Year: 2007</w:t>
      </w:r>
    </w:p>
    <w:p w14:paraId="639CF23E"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6" w:history="1">
        <w:r w:rsidRPr="002E0B80">
          <w:rPr>
            <w:rFonts w:ascii="Open Sans" w:eastAsia="Times New Roman" w:hAnsi="Open Sans" w:cs="Open Sans"/>
            <w:color w:val="0000FF"/>
            <w:sz w:val="24"/>
            <w:szCs w:val="24"/>
            <w:u w:val="single"/>
            <w:lang w:eastAsia="en-ZA"/>
          </w:rPr>
          <w:t>Pension Reform in Chile Revisited: What has been Learned?</w:t>
        </w:r>
      </w:hyperlink>
    </w:p>
    <w:p w14:paraId="1706175B"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The paper describes Chile’s pension reform of 1980, which replaced the pay-as-you-go public pension programmes with a funded programme managed by private companies. It reviews the main results of this reform to date and identifies the current challenges; it also assesses the changes introduced in March 2008. The Chilean case shows that parametric reforms before the creation of a funded programme can reduce political resistance to structural pension reform. It also suggests that agreement among the economic, social security and labour market authorities responsible for pension reform can help to sell the reform to the political authorities. Another lesson is the importance of the micro design of the programme, which affects both individual decisions and portfolio managers’ investments. Results so far suggest that the reform has improved the long-term sustainability of Chile’s pension system, created a fairer system, promoted capital market development, and removed some labour market distortions. However, operational costs and prices are high, and expectations about better second-pillar coverage have not been met. While some regulatory changes could improve the extent and quality of the funded pension programme coverage, the long-term solution involves the labour market, through higher formal employment, lower unemployment and longer working lives.</w:t>
      </w:r>
    </w:p>
    <w:p w14:paraId="5FBAC7F0"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Augusto Iglesias-Palau Year: 2009</w:t>
      </w:r>
    </w:p>
    <w:p w14:paraId="1B951FC7"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7" w:history="1">
        <w:r w:rsidRPr="002E0B80">
          <w:rPr>
            <w:rFonts w:ascii="Open Sans" w:eastAsia="Times New Roman" w:hAnsi="Open Sans" w:cs="Open Sans"/>
            <w:color w:val="0000FF"/>
            <w:sz w:val="24"/>
            <w:szCs w:val="24"/>
            <w:u w:val="single"/>
            <w:lang w:eastAsia="en-ZA"/>
          </w:rPr>
          <w:t>Pension Reform in China: The Need for a New Approach</w:t>
        </w:r>
      </w:hyperlink>
    </w:p>
    <w:p w14:paraId="42F0C3C0"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Given the rapid ageing of China’s population over the next few decades, it is important for the government to put in place a new pension system with broad and adequate coverage, and soon. The pension reforms first initiated in 1997 have become bogged down in difficulties over dealing with the ‘legacy costs’ associated with the relatively generous benefits provided under the old system. This paper highlights the need to jump-start pension reform in China. It suggests that the only viable way ahead is to temporarily separate the legacy problem from the problem of setting up a new pension system. The legacy problem should eventually be solved through a negotiated agreement between local governments and the central government. The paper provides concrete proposals for setting up a new pension system for both urban and rural workers. It points to a relatively broad consensus on the basic structure of such a system. A new system could be adjusted over time to reflect the development of China’s economy and changes in political and social views on the best means of meeting the financial needs of the elderly population.</w:t>
      </w:r>
    </w:p>
    <w:p w14:paraId="299267E8"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Steven Dunaway and Vivek Arora Year: 2007</w:t>
      </w:r>
    </w:p>
    <w:p w14:paraId="70A8E9DF"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8" w:history="1">
        <w:r w:rsidRPr="002E0B80">
          <w:rPr>
            <w:rFonts w:ascii="Open Sans" w:eastAsia="Times New Roman" w:hAnsi="Open Sans" w:cs="Open Sans"/>
            <w:color w:val="0000FF"/>
            <w:sz w:val="24"/>
            <w:szCs w:val="24"/>
            <w:u w:val="single"/>
            <w:lang w:eastAsia="en-ZA"/>
          </w:rPr>
          <w:t>Pension Reform in China: Progress and Prospects</w:t>
        </w:r>
      </w:hyperlink>
    </w:p>
    <w:p w14:paraId="1B2111DD"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China is developing the largest pension system in the world at a time of unparalleled economic and demographic transition. The central government has followed a step-by-step approach to create a system that can accommodate an ageing society within a fast-growing but still underdeveloped economy. This paper analyses progress in this regard till the end of 2006. It provides a detailed description of the pension system and reviews its successes. It finds that </w:t>
      </w:r>
      <w:r w:rsidRPr="002E0B80">
        <w:rPr>
          <w:rFonts w:ascii="Open Sans" w:eastAsia="Times New Roman" w:hAnsi="Open Sans" w:cs="Open Sans"/>
          <w:color w:val="5F5B5C"/>
          <w:sz w:val="20"/>
          <w:szCs w:val="20"/>
          <w:lang w:eastAsia="en-ZA"/>
        </w:rPr>
        <w:lastRenderedPageBreak/>
        <w:t>since the crucial redesign of the pension system in 1997, many significant reforms have followed. In spite of this institutional progress, the scope of the system is still limited, as its coverage rate among urban employees remains below 50%. The rural population remains outside the national pension system, and it seems likely that the majority of the population will remain dependent on old-age provision through family support for many years to come. Yet, the current situation provides a demographic window until around 2015 to address these shortcomings. Extending coverage through better compliance and continuing financial commitment towards the National Social Security Fund are crucial for creating a financial and institutional basis that can cushion the effects of an ageing population.</w:t>
      </w:r>
    </w:p>
    <w:p w14:paraId="5EB71CE1"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Felix </w:t>
      </w:r>
      <w:proofErr w:type="spellStart"/>
      <w:r w:rsidRPr="002E0B80">
        <w:rPr>
          <w:rFonts w:ascii="Open Sans" w:eastAsia="Times New Roman" w:hAnsi="Open Sans" w:cs="Open Sans"/>
          <w:color w:val="747374"/>
          <w:sz w:val="24"/>
          <w:szCs w:val="24"/>
          <w:lang w:eastAsia="en-ZA"/>
        </w:rPr>
        <w:t>Salditt</w:t>
      </w:r>
      <w:proofErr w:type="spellEnd"/>
      <w:r w:rsidRPr="002E0B80">
        <w:rPr>
          <w:rFonts w:ascii="Open Sans" w:eastAsia="Times New Roman" w:hAnsi="Open Sans" w:cs="Open Sans"/>
          <w:color w:val="747374"/>
          <w:sz w:val="24"/>
          <w:szCs w:val="24"/>
          <w:lang w:eastAsia="en-ZA"/>
        </w:rPr>
        <w:t xml:space="preserve">, Peter Whiteford and Willem </w:t>
      </w:r>
      <w:proofErr w:type="spellStart"/>
      <w:r w:rsidRPr="002E0B80">
        <w:rPr>
          <w:rFonts w:ascii="Open Sans" w:eastAsia="Times New Roman" w:hAnsi="Open Sans" w:cs="Open Sans"/>
          <w:color w:val="747374"/>
          <w:sz w:val="24"/>
          <w:szCs w:val="24"/>
          <w:lang w:eastAsia="en-ZA"/>
        </w:rPr>
        <w:t>Adema</w:t>
      </w:r>
      <w:proofErr w:type="spellEnd"/>
      <w:r w:rsidRPr="002E0B80">
        <w:rPr>
          <w:rFonts w:ascii="Open Sans" w:eastAsia="Times New Roman" w:hAnsi="Open Sans" w:cs="Open Sans"/>
          <w:color w:val="747374"/>
          <w:sz w:val="24"/>
          <w:szCs w:val="24"/>
          <w:lang w:eastAsia="en-ZA"/>
        </w:rPr>
        <w:t xml:space="preserve"> Year: 2007</w:t>
      </w:r>
    </w:p>
    <w:p w14:paraId="31DBDC86"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19" w:history="1">
        <w:r w:rsidRPr="002E0B80">
          <w:rPr>
            <w:rFonts w:ascii="Open Sans" w:eastAsia="Times New Roman" w:hAnsi="Open Sans" w:cs="Open Sans"/>
            <w:color w:val="0000FF"/>
            <w:sz w:val="24"/>
            <w:szCs w:val="24"/>
            <w:u w:val="single"/>
            <w:lang w:eastAsia="en-ZA"/>
          </w:rPr>
          <w:t>PROGRESA and its Impacts on the Human Capital and Welfare of Households in Rural Mexico: A Synthesis of the Results of an Evaluation by IFPRI</w:t>
        </w:r>
      </w:hyperlink>
    </w:p>
    <w:p w14:paraId="5AA7D306"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PROGRESA is a major initiative of the Mexican government to develop the human capital of poor households. Directly targeting extremely poor people in rural areas, it provides monetary and in-kind benefits to alleviate current poverty, and encourages investments in education, health and nutrition to alleviate future poverty. In early 1998, the International Food Policy Research Institute (IFPRI) was asked to assist the PROGRESA administration to ‘determine if PROGRESA is functioning in practice as it is intended to by design’. This document synthesises the findings of a series of IFPRI reports on PROGRESA between November 1998 and November 2000. The evaluation is based on data collected from seven states (24 000 households from 506 localities) that were among the first to receive PROGRESA, as well as interviews with stakeholders. PROGRESA covered about 40% of rural families, and the evaluation found that it contributed to higher school enrolment, better educational attainment, lower incidence of illness, better antenatal care, higher expenditure on food, lower stunting among children, and higher earnings potential, while administrative costs remained relatively low. However, the evaluation also found considerable room for improvement in some of the structural components and the operation of the programme.</w:t>
      </w:r>
    </w:p>
    <w:p w14:paraId="73577EEB"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Emmanuel </w:t>
      </w:r>
      <w:proofErr w:type="spellStart"/>
      <w:r w:rsidRPr="002E0B80">
        <w:rPr>
          <w:rFonts w:ascii="Open Sans" w:eastAsia="Times New Roman" w:hAnsi="Open Sans" w:cs="Open Sans"/>
          <w:color w:val="747374"/>
          <w:sz w:val="24"/>
          <w:szCs w:val="24"/>
          <w:lang w:eastAsia="en-ZA"/>
        </w:rPr>
        <w:t>Skoufias</w:t>
      </w:r>
      <w:proofErr w:type="spellEnd"/>
      <w:r w:rsidRPr="002E0B80">
        <w:rPr>
          <w:rFonts w:ascii="Open Sans" w:eastAsia="Times New Roman" w:hAnsi="Open Sans" w:cs="Open Sans"/>
          <w:color w:val="747374"/>
          <w:sz w:val="24"/>
          <w:szCs w:val="24"/>
          <w:lang w:eastAsia="en-ZA"/>
        </w:rPr>
        <w:t xml:space="preserve"> Year: 2001</w:t>
      </w:r>
    </w:p>
    <w:p w14:paraId="7EACF33B"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0" w:history="1">
        <w:r w:rsidRPr="002E0B80">
          <w:rPr>
            <w:rFonts w:ascii="Open Sans" w:eastAsia="Times New Roman" w:hAnsi="Open Sans" w:cs="Open Sans"/>
            <w:color w:val="0000FF"/>
            <w:sz w:val="24"/>
            <w:szCs w:val="24"/>
            <w:u w:val="single"/>
            <w:lang w:eastAsia="en-ZA"/>
          </w:rPr>
          <w:t>Public pension and household saving: Evidence from China</w:t>
        </w:r>
      </w:hyperlink>
    </w:p>
    <w:p w14:paraId="4BFC13FF"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China’s household saving rates climbed continuously from the mid-1990s, from 17% in 1995 to 23% in 2004. At the same time, the public pension system for urban employees was being reformed. The reforms created a multi-pillar system with individual accounts alongside the pay-as-you go pillar. However, the total replacement ratio declined: the combined target replacement ratio of the first and the second pillars is 58.5%, down from 75% in the pre-reform period. Although it has often been conjectured that pension reform would affect household saving, the relationship requires further exploration. This paper aims to explain the increase in household saving in urban China by relating it to pension reform. It uses the exogenous (policy-induced) variation in pension wealth to explicitly estimate the impact of pension wealth on household saving. The paper finds a significant offset effect of such pension wealth on household saving. Estimates show that pension reform boosted the household saving rate in 1999 by about 6 percentage points for the cohort aged 25–29 and by about 3 percentage points for cohort aged 50–59. The results also indicate that declining pension wealth reduces expenditure on education and health more than on other consumption items.</w:t>
      </w:r>
    </w:p>
    <w:p w14:paraId="2097F754"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w:t>
      </w:r>
      <w:proofErr w:type="spellStart"/>
      <w:r w:rsidRPr="002E0B80">
        <w:rPr>
          <w:rFonts w:ascii="Open Sans" w:eastAsia="Times New Roman" w:hAnsi="Open Sans" w:cs="Open Sans"/>
          <w:color w:val="747374"/>
          <w:sz w:val="24"/>
          <w:szCs w:val="24"/>
          <w:lang w:eastAsia="en-ZA"/>
        </w:rPr>
        <w:t>Jin</w:t>
      </w:r>
      <w:proofErr w:type="spellEnd"/>
      <w:r w:rsidRPr="002E0B80">
        <w:rPr>
          <w:rFonts w:ascii="Open Sans" w:eastAsia="Times New Roman" w:hAnsi="Open Sans" w:cs="Open Sans"/>
          <w:color w:val="747374"/>
          <w:sz w:val="24"/>
          <w:szCs w:val="24"/>
          <w:lang w:eastAsia="en-ZA"/>
        </w:rPr>
        <w:t xml:space="preserve"> Feng, </w:t>
      </w:r>
      <w:proofErr w:type="spellStart"/>
      <w:r w:rsidRPr="002E0B80">
        <w:rPr>
          <w:rFonts w:ascii="Open Sans" w:eastAsia="Times New Roman" w:hAnsi="Open Sans" w:cs="Open Sans"/>
          <w:color w:val="747374"/>
          <w:sz w:val="24"/>
          <w:szCs w:val="24"/>
          <w:lang w:eastAsia="en-ZA"/>
        </w:rPr>
        <w:t>Lixin</w:t>
      </w:r>
      <w:proofErr w:type="spellEnd"/>
      <w:r w:rsidRPr="002E0B80">
        <w:rPr>
          <w:rFonts w:ascii="Open Sans" w:eastAsia="Times New Roman" w:hAnsi="Open Sans" w:cs="Open Sans"/>
          <w:color w:val="747374"/>
          <w:sz w:val="24"/>
          <w:szCs w:val="24"/>
          <w:lang w:eastAsia="en-ZA"/>
        </w:rPr>
        <w:t xml:space="preserve"> He, Hiroshi Sato Year: 2009</w:t>
      </w:r>
    </w:p>
    <w:p w14:paraId="00F81541"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1" w:history="1">
        <w:r w:rsidRPr="002E0B80">
          <w:rPr>
            <w:rFonts w:ascii="Open Sans" w:eastAsia="Times New Roman" w:hAnsi="Open Sans" w:cs="Open Sans"/>
            <w:color w:val="0000FF"/>
            <w:sz w:val="24"/>
            <w:szCs w:val="24"/>
            <w:u w:val="single"/>
            <w:lang w:eastAsia="en-ZA"/>
          </w:rPr>
          <w:t>Rise Of 401(K) Plans, Lifetime Earnings, and Wealth at Retirement</w:t>
        </w:r>
      </w:hyperlink>
    </w:p>
    <w:p w14:paraId="485419E2"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Saving through private pensions has been an important complement to social security in providing for the financial needs of older Americans. In the past 25 years, however, there has been a dramatic change in private retirement saving. Personal retirement accounts have </w:t>
      </w:r>
      <w:r w:rsidRPr="002E0B80">
        <w:rPr>
          <w:rFonts w:ascii="Open Sans" w:eastAsia="Times New Roman" w:hAnsi="Open Sans" w:cs="Open Sans"/>
          <w:color w:val="5F5B5C"/>
          <w:sz w:val="20"/>
          <w:szCs w:val="20"/>
          <w:lang w:eastAsia="en-ZA"/>
        </w:rPr>
        <w:lastRenderedPageBreak/>
        <w:t>replaced defined benefit pension plans as the primary means of such saving. It is important to understand how this change will affect the wealth of future retirees. The personal retirement account system is not yet mature. A person who retired in 2000, for example, could have contributed to a 401(k) for at most 18 years and the typical 401(k) participant had contributed only for a little over 7 years. Nonetheless, current 401(k) assets are quite large. This paper considers the implications of rising 401(k) saving until the year 2040. In particular, it emphasises the growth of the sum of social security wealth and 401(k) assets for families in each decile of the social security wealth distribution. The projections show a substantial increase between 2000 and 2040 in the sum of these retirement assets in each wealth decile. The paper also considers the accumulation of 401(k) assets by families in different deciles of the distribution of lifetime earnings.</w:t>
      </w:r>
    </w:p>
    <w:p w14:paraId="5D71C094"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James Poterba, Steven F </w:t>
      </w:r>
      <w:proofErr w:type="spellStart"/>
      <w:r w:rsidRPr="002E0B80">
        <w:rPr>
          <w:rFonts w:ascii="Open Sans" w:eastAsia="Times New Roman" w:hAnsi="Open Sans" w:cs="Open Sans"/>
          <w:color w:val="747374"/>
          <w:sz w:val="24"/>
          <w:szCs w:val="24"/>
          <w:lang w:eastAsia="en-ZA"/>
        </w:rPr>
        <w:t>Venti</w:t>
      </w:r>
      <w:proofErr w:type="spellEnd"/>
      <w:r w:rsidRPr="002E0B80">
        <w:rPr>
          <w:rFonts w:ascii="Open Sans" w:eastAsia="Times New Roman" w:hAnsi="Open Sans" w:cs="Open Sans"/>
          <w:color w:val="747374"/>
          <w:sz w:val="24"/>
          <w:szCs w:val="24"/>
          <w:lang w:eastAsia="en-ZA"/>
        </w:rPr>
        <w:t>, David A Wise Year: 2007</w:t>
      </w:r>
    </w:p>
    <w:p w14:paraId="6FF5CC06"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2" w:history="1">
        <w:r w:rsidRPr="002E0B80">
          <w:rPr>
            <w:rFonts w:ascii="Open Sans" w:eastAsia="Times New Roman" w:hAnsi="Open Sans" w:cs="Open Sans"/>
            <w:color w:val="0000FF"/>
            <w:sz w:val="24"/>
            <w:szCs w:val="24"/>
            <w:u w:val="single"/>
            <w:lang w:eastAsia="en-ZA"/>
          </w:rPr>
          <w:t xml:space="preserve">Social insecurity: The </w:t>
        </w:r>
        <w:proofErr w:type="spellStart"/>
        <w:r w:rsidRPr="002E0B80">
          <w:rPr>
            <w:rFonts w:ascii="Open Sans" w:eastAsia="Times New Roman" w:hAnsi="Open Sans" w:cs="Open Sans"/>
            <w:color w:val="0000FF"/>
            <w:sz w:val="24"/>
            <w:szCs w:val="24"/>
            <w:u w:val="single"/>
            <w:lang w:eastAsia="en-ZA"/>
          </w:rPr>
          <w:t>financialisation</w:t>
        </w:r>
        <w:proofErr w:type="spellEnd"/>
        <w:r w:rsidRPr="002E0B80">
          <w:rPr>
            <w:rFonts w:ascii="Open Sans" w:eastAsia="Times New Roman" w:hAnsi="Open Sans" w:cs="Open Sans"/>
            <w:color w:val="0000FF"/>
            <w:sz w:val="24"/>
            <w:szCs w:val="24"/>
            <w:u w:val="single"/>
            <w:lang w:eastAsia="en-ZA"/>
          </w:rPr>
          <w:t xml:space="preserve"> of healthcare and pensions in developing countries</w:t>
        </w:r>
      </w:hyperlink>
    </w:p>
    <w:p w14:paraId="43A0EF5A"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paper aims to raise awareness of the influence of private financial institutions on healthcare and pensions in developing countries. It considers the structural shortcomings of privatisation reforms in meeting the developmental needs of the South, arguing that they failed to address the social risks of old age, poverty and poor health. Far from increasing efficiency, the reforms have drained public resources through lavish tax incentives and significant administrative and regulatory expenses. The paper then discusses the various drivers of the reforms. Even though the privatisation reforms fail to benefit the majority, national governments – pressed by local elites, multilateral agencies and global corporate and financial interests – have contributed significant public resources towards them. The liberalisation of trade and the relocation of multilateral health corporations to developing country markets have contributed to the privatisation of health. The role of private financial institutions in the reform process is examined through two case studies: private pensions in Chile and private health insurance in Argentina. The paper concludes that private and poorly regulated financial institutions have played a central role in the failures of social security reforms to overcome the challenges of healthcare access and old-age poverty in many developing countries.</w:t>
      </w:r>
    </w:p>
    <w:p w14:paraId="100B1C33"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Sheena </w:t>
      </w:r>
      <w:proofErr w:type="spellStart"/>
      <w:r w:rsidRPr="002E0B80">
        <w:rPr>
          <w:rFonts w:ascii="Open Sans" w:eastAsia="Times New Roman" w:hAnsi="Open Sans" w:cs="Open Sans"/>
          <w:color w:val="747374"/>
          <w:sz w:val="24"/>
          <w:szCs w:val="24"/>
          <w:lang w:eastAsia="en-ZA"/>
        </w:rPr>
        <w:t>Sumaria</w:t>
      </w:r>
      <w:proofErr w:type="spellEnd"/>
      <w:r w:rsidRPr="002E0B80">
        <w:rPr>
          <w:rFonts w:ascii="Open Sans" w:eastAsia="Times New Roman" w:hAnsi="Open Sans" w:cs="Open Sans"/>
          <w:color w:val="747374"/>
          <w:sz w:val="24"/>
          <w:szCs w:val="24"/>
          <w:lang w:eastAsia="en-ZA"/>
        </w:rPr>
        <w:t xml:space="preserve"> Year: 2010</w:t>
      </w:r>
    </w:p>
    <w:p w14:paraId="15459577"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3" w:history="1">
        <w:r w:rsidRPr="002E0B80">
          <w:rPr>
            <w:rFonts w:ascii="Open Sans" w:eastAsia="Times New Roman" w:hAnsi="Open Sans" w:cs="Open Sans"/>
            <w:color w:val="0000FF"/>
            <w:sz w:val="24"/>
            <w:szCs w:val="24"/>
            <w:u w:val="single"/>
            <w:lang w:eastAsia="en-ZA"/>
          </w:rPr>
          <w:t>Social insurance in Sweden</w:t>
        </w:r>
      </w:hyperlink>
    </w:p>
    <w:p w14:paraId="2983ADE7"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fact sheet of the Swedish Ministry of Health discusses arrangements for social insurance in an easily accessibly way. It explains that social insurance provides economic security in the event of illness, disability and old age, as well as for families with children. In Sweden, social insurance is individually based and compensates for the loss of income when a person is unable to support themselves by working as a result of, for example, illness or caring for a child at home. Social insurance is administered by the Swedish Social Insurance Agency (</w:t>
      </w:r>
      <w:proofErr w:type="spellStart"/>
      <w:r w:rsidRPr="002E0B80">
        <w:rPr>
          <w:rFonts w:ascii="Open Sans" w:eastAsia="Times New Roman" w:hAnsi="Open Sans" w:cs="Open Sans"/>
          <w:color w:val="5F5B5C"/>
          <w:sz w:val="20"/>
          <w:szCs w:val="20"/>
          <w:lang w:eastAsia="en-ZA"/>
        </w:rPr>
        <w:t>Fo</w:t>
      </w:r>
      <w:r w:rsidRPr="002E0B80">
        <w:rPr>
          <w:rFonts w:ascii="Arial" w:eastAsia="Times New Roman" w:hAnsi="Arial" w:cs="Arial"/>
          <w:color w:val="5F5B5C"/>
          <w:sz w:val="20"/>
          <w:szCs w:val="20"/>
          <w:lang w:eastAsia="en-ZA"/>
        </w:rPr>
        <w:t>̈</w:t>
      </w:r>
      <w:r w:rsidRPr="002E0B80">
        <w:rPr>
          <w:rFonts w:ascii="Open Sans" w:eastAsia="Times New Roman" w:hAnsi="Open Sans" w:cs="Open Sans"/>
          <w:color w:val="5F5B5C"/>
          <w:sz w:val="20"/>
          <w:szCs w:val="20"/>
          <w:lang w:eastAsia="en-ZA"/>
        </w:rPr>
        <w:t>rsa</w:t>
      </w:r>
      <w:r w:rsidRPr="002E0B80">
        <w:rPr>
          <w:rFonts w:ascii="Arial" w:eastAsia="Times New Roman" w:hAnsi="Arial" w:cs="Arial"/>
          <w:color w:val="5F5B5C"/>
          <w:sz w:val="20"/>
          <w:szCs w:val="20"/>
          <w:lang w:eastAsia="en-ZA"/>
        </w:rPr>
        <w:t>̈</w:t>
      </w:r>
      <w:r w:rsidRPr="002E0B80">
        <w:rPr>
          <w:rFonts w:ascii="Open Sans" w:eastAsia="Times New Roman" w:hAnsi="Open Sans" w:cs="Open Sans"/>
          <w:color w:val="5F5B5C"/>
          <w:sz w:val="20"/>
          <w:szCs w:val="20"/>
          <w:lang w:eastAsia="en-ZA"/>
        </w:rPr>
        <w:t>kringskassan</w:t>
      </w:r>
      <w:proofErr w:type="spellEnd"/>
      <w:r w:rsidRPr="002E0B80">
        <w:rPr>
          <w:rFonts w:ascii="Open Sans" w:eastAsia="Times New Roman" w:hAnsi="Open Sans" w:cs="Open Sans"/>
          <w:color w:val="5F5B5C"/>
          <w:sz w:val="20"/>
          <w:szCs w:val="20"/>
          <w:lang w:eastAsia="en-ZA"/>
        </w:rPr>
        <w:t>) and the Swedish Pensions Agency (</w:t>
      </w:r>
      <w:proofErr w:type="spellStart"/>
      <w:r w:rsidRPr="002E0B80">
        <w:rPr>
          <w:rFonts w:ascii="Open Sans" w:eastAsia="Times New Roman" w:hAnsi="Open Sans" w:cs="Open Sans"/>
          <w:color w:val="5F5B5C"/>
          <w:sz w:val="20"/>
          <w:szCs w:val="20"/>
          <w:lang w:eastAsia="en-ZA"/>
        </w:rPr>
        <w:t>Pensionsmyndigheten</w:t>
      </w:r>
      <w:proofErr w:type="spellEnd"/>
      <w:r w:rsidRPr="002E0B80">
        <w:rPr>
          <w:rFonts w:ascii="Open Sans" w:eastAsia="Times New Roman" w:hAnsi="Open Sans" w:cs="Open Sans"/>
          <w:color w:val="5F5B5C"/>
          <w:sz w:val="20"/>
          <w:szCs w:val="20"/>
          <w:lang w:eastAsia="en-ZA"/>
        </w:rPr>
        <w:t>). The Swedish Pensions Agency administers the public old-age pension system and associated benefits. The agencies are financed through a combination of employer and employee contributions and through taxes. Social insurance includes both universal benefits and means-tested benefits, as well as income-related benefits. Universal benefits are paid to everyone at the same rate and include child allowances and adoption allowances. Means-tested benefits include housing allowances, housing supplements for pensioners, and the top-up benefit in maintenance support. These allowances are not taxable, but income-related benefits are taxable. Social insurance applies equally to anyone living or working in Sweden, and citizenship is not a requirement.</w:t>
      </w:r>
    </w:p>
    <w:p w14:paraId="3BB34F2F"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Swedish Ministry of Health Year: 2009</w:t>
      </w:r>
    </w:p>
    <w:p w14:paraId="68F196DD"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4" w:history="1">
        <w:r w:rsidRPr="002E0B80">
          <w:rPr>
            <w:rFonts w:ascii="Open Sans" w:eastAsia="Times New Roman" w:hAnsi="Open Sans" w:cs="Open Sans"/>
            <w:color w:val="0000FF"/>
            <w:sz w:val="24"/>
            <w:szCs w:val="24"/>
            <w:u w:val="single"/>
            <w:lang w:eastAsia="en-ZA"/>
          </w:rPr>
          <w:t>Social Security Individual Accounts: Design Questions</w:t>
        </w:r>
      </w:hyperlink>
    </w:p>
    <w:p w14:paraId="17357F7E"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lastRenderedPageBreak/>
        <w:t xml:space="preserve">Many recent Social Security proposals call for workers in the United States to accumulate contributions in individual accounts as a source of retirement income. Proponents of this approach want workers to invest in the stock market, with direct control of their accounts. Opponents are concerned about disrupting traditional Social Security benefits and the payroll taxes that support them. Neither side in this debate has addressed design questions that may be critical to the success or failure of individual accounts. Without taking sides, the Academy believes that such questions have important implications, such as limiting free choice in order to hold down costs. This issue brief sheds light on issues that policymakers would need to consider. For example, should individual accounts be mandatory or voluntary? Should they replace part of the current programme? How should the programme provide basic benefits for lower-paid workers? How should it ‘grandfather’ existing benefits for older and/or disabled workers? Should individual accounts be managed centrally? How many and which investment alternatives should workers be offered? How might workers make informed investment decisions? Should they be allowed to access funds before retirement? Would lifetime annuity </w:t>
      </w:r>
      <w:proofErr w:type="spellStart"/>
      <w:r w:rsidRPr="002E0B80">
        <w:rPr>
          <w:rFonts w:ascii="Open Sans" w:eastAsia="Times New Roman" w:hAnsi="Open Sans" w:cs="Open Sans"/>
          <w:color w:val="5F5B5C"/>
          <w:sz w:val="20"/>
          <w:szCs w:val="20"/>
          <w:lang w:eastAsia="en-ZA"/>
        </w:rPr>
        <w:t>payouts</w:t>
      </w:r>
      <w:proofErr w:type="spellEnd"/>
      <w:r w:rsidRPr="002E0B80">
        <w:rPr>
          <w:rFonts w:ascii="Open Sans" w:eastAsia="Times New Roman" w:hAnsi="Open Sans" w:cs="Open Sans"/>
          <w:color w:val="5F5B5C"/>
          <w:sz w:val="20"/>
          <w:szCs w:val="20"/>
          <w:lang w:eastAsia="en-ZA"/>
        </w:rPr>
        <w:t xml:space="preserve"> be mandatory or voluntary? How would these be designed and administered?</w:t>
      </w:r>
    </w:p>
    <w:p w14:paraId="7A68CB21"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American Academy of Actuaries Year: 2003</w:t>
      </w:r>
    </w:p>
    <w:p w14:paraId="2145A055"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5" w:history="1">
        <w:r w:rsidRPr="002E0B80">
          <w:rPr>
            <w:rFonts w:ascii="Open Sans" w:eastAsia="Times New Roman" w:hAnsi="Open Sans" w:cs="Open Sans"/>
            <w:color w:val="0000FF"/>
            <w:sz w:val="24"/>
            <w:szCs w:val="24"/>
            <w:u w:val="single"/>
            <w:lang w:eastAsia="en-ZA"/>
          </w:rPr>
          <w:t>Social Security Reform: Considerations for Individual Account Design</w:t>
        </w:r>
      </w:hyperlink>
    </w:p>
    <w:p w14:paraId="0724B3B9"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The Social Security programme in the United States is facing significant financial challenges caused by profound demographic changes. Reform proposals include restructuring the programme to incorporate individual accounts. This presentation discusses options for the design of individual accounts, corresponding to the three phases of retirement savings vehicles: contribution, accumulation and distribution. The creation of an individual account system faces key design decisions in each of these phases. For example, regarding contributions, decisions include the size of the contribution and whether the accounts will be mandatory or voluntary. The latter decision will depend to some degree on the implicit relationship of the accounts to the current Social Security programme. In the accumulation phase, the design of individual accounts must negotiate several trade-offs, including investment options and the level of customer service. Finally, individual accounts, like current defined contribution plans and individual retirement accounts, must distribute accumulated account balances to individuals. A system of individual accounts covering over 156 million workers would constitute a fundamental change to Social Security and would be significantly larger than any existing investment programme for retirement. Affected individuals need to understand the features of such a new system to make informed decisions about work, savings and retirement.</w:t>
      </w:r>
    </w:p>
    <w:p w14:paraId="260F87B1"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Barbara D </w:t>
      </w:r>
      <w:proofErr w:type="spellStart"/>
      <w:r w:rsidRPr="002E0B80">
        <w:rPr>
          <w:rFonts w:ascii="Open Sans" w:eastAsia="Times New Roman" w:hAnsi="Open Sans" w:cs="Open Sans"/>
          <w:color w:val="747374"/>
          <w:sz w:val="24"/>
          <w:szCs w:val="24"/>
          <w:lang w:eastAsia="en-ZA"/>
        </w:rPr>
        <w:t>Bovbjerg</w:t>
      </w:r>
      <w:proofErr w:type="spellEnd"/>
      <w:r w:rsidRPr="002E0B80">
        <w:rPr>
          <w:rFonts w:ascii="Open Sans" w:eastAsia="Times New Roman" w:hAnsi="Open Sans" w:cs="Open Sans"/>
          <w:color w:val="747374"/>
          <w:sz w:val="24"/>
          <w:szCs w:val="24"/>
          <w:lang w:eastAsia="en-ZA"/>
        </w:rPr>
        <w:t xml:space="preserve"> Year: 2005</w:t>
      </w:r>
    </w:p>
    <w:p w14:paraId="3CD54FB7"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6" w:history="1">
        <w:r w:rsidRPr="002E0B80">
          <w:rPr>
            <w:rFonts w:ascii="Open Sans" w:eastAsia="Times New Roman" w:hAnsi="Open Sans" w:cs="Open Sans"/>
            <w:color w:val="0000FF"/>
            <w:sz w:val="24"/>
            <w:szCs w:val="24"/>
            <w:u w:val="single"/>
            <w:lang w:eastAsia="en-ZA"/>
          </w:rPr>
          <w:t>Social Security Reform in Brazil: Achievements and Remaining Challenges</w:t>
        </w:r>
      </w:hyperlink>
    </w:p>
    <w:p w14:paraId="5E600515"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Brazil’s social security system has undergone a series of reforms since the late 1990s, but structural imbalances remain. Further reforms will be needed to ensure the sustainability of the social security system in the longer run, especially by eliminating the pressures created by the ratcheting-up of expenditure on pensions over the years. This paper reviews the main elements of social security reform in Brazil since 1998 and discusses areas where further policy action is needed to ensure the sustainability of the social security system. Several challenges are identified. Outlays on pensions paid to private sector workers have risen as a result of population ageing and higher real minimum wages, to which the minimum pension is linked. However, some features of the existing social protection programmes, including means-tested old-age and disability-related benefits, reduce the incentives for workers to seek social security coverage. At the same time, an expansion of the base of contributions to social security has been constrained by widespread labour informality. Further reforms will therefore need to focus on options for containing the rise in social security spending while tackling labour informality, so as to broaden the base of contributions.</w:t>
      </w:r>
    </w:p>
    <w:p w14:paraId="24AFDC29"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lastRenderedPageBreak/>
        <w:t xml:space="preserve">Author: Fabio </w:t>
      </w:r>
      <w:proofErr w:type="spellStart"/>
      <w:r w:rsidRPr="002E0B80">
        <w:rPr>
          <w:rFonts w:ascii="Open Sans" w:eastAsia="Times New Roman" w:hAnsi="Open Sans" w:cs="Open Sans"/>
          <w:color w:val="747374"/>
          <w:sz w:val="24"/>
          <w:szCs w:val="24"/>
          <w:lang w:eastAsia="en-ZA"/>
        </w:rPr>
        <w:t>Giambiagi</w:t>
      </w:r>
      <w:proofErr w:type="spellEnd"/>
      <w:r w:rsidRPr="002E0B80">
        <w:rPr>
          <w:rFonts w:ascii="Open Sans" w:eastAsia="Times New Roman" w:hAnsi="Open Sans" w:cs="Open Sans"/>
          <w:color w:val="747374"/>
          <w:sz w:val="24"/>
          <w:szCs w:val="24"/>
          <w:lang w:eastAsia="en-ZA"/>
        </w:rPr>
        <w:t>, Luiz de Mello Year: 2006</w:t>
      </w:r>
    </w:p>
    <w:p w14:paraId="099DC918"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7" w:history="1">
        <w:r w:rsidRPr="002E0B80">
          <w:rPr>
            <w:rFonts w:ascii="Open Sans" w:eastAsia="Times New Roman" w:hAnsi="Open Sans" w:cs="Open Sans"/>
            <w:color w:val="0000FF"/>
            <w:sz w:val="24"/>
            <w:szCs w:val="24"/>
            <w:u w:val="single"/>
            <w:lang w:eastAsia="en-ZA"/>
          </w:rPr>
          <w:t>Social Security Reforms in Colombia: Striking Demographic and Fiscal Balances</w:t>
        </w:r>
      </w:hyperlink>
    </w:p>
    <w:p w14:paraId="05385A0A"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paper analyses the impact of pension and healthcare reforms in Colombia in 1993–2008. The parametric pension reforms included increasing the retirement age (with disappointing results) and moderating replacement rates (achieving a fairly good balance between the rights of older cohorts and the demographic challenge of young cohorts with longer life expectancies). The health system reforms extended healthcare services, with the aim of achieving universal coverage by 2012 while providing more equal services across different social strata. The paper uses official simulations of the public sector financial gap stemming from the pensions arrangements, along with own simulations of the health system financial gap. It finds that the reforms would help to reduce the net present value of the debt of the pension system, projected over 2007–50, from 260% to 160% of 2007 GDP. However, because of high levels of labour informality, pensions still cover only 25% of the working population. The extension of the health services resulted in a growing healthcare deficit, with a net present value of 97% of GDP over the same period. Reducing labour informality, and thereby increasing contribution levels, is critical for improving the sustainability of these systems.</w:t>
      </w:r>
    </w:p>
    <w:p w14:paraId="5DE2ED93"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Sergio Clavijo Year: 2009</w:t>
      </w:r>
    </w:p>
    <w:p w14:paraId="65C1063A"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8" w:history="1">
        <w:r w:rsidRPr="002E0B80">
          <w:rPr>
            <w:rFonts w:ascii="Open Sans" w:eastAsia="Times New Roman" w:hAnsi="Open Sans" w:cs="Open Sans"/>
            <w:color w:val="0000FF"/>
            <w:sz w:val="24"/>
            <w:szCs w:val="24"/>
            <w:u w:val="single"/>
            <w:lang w:eastAsia="en-ZA"/>
          </w:rPr>
          <w:t>Social Security Reforms in Latin America: What Can the US Learn?</w:t>
        </w:r>
      </w:hyperlink>
    </w:p>
    <w:p w14:paraId="3918D981"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paper provides a selective overview of social security reforms in Latin America to help inform the debate in the United States. At least ten countries in Latin America have enacted reforms that have some things in common with what is being considered for the States – the partial privatisation of social security. But these countries are very different from the United States, and it is not easy to draw meaningful lessons for US social security reform from the experience of countries such as Chile, Argentina and Mexico. Public pension systems in these countries became bankrupt before their populations aged, mainly because of mismanagement. In contrast, the well-managed US system faces long-term problems brought about by an ageing population. The experiences of these countries do, however, offer general lessons around changes in labour market incentives accompanying reforms and how workers have reacted to them, government actions that have met with success in managing the transition to funded pensions, and the expectations of individuals from social security systems. These can be summarised as: keep payroll taxes low, keep governments solvent, and keep social security systems focused on providing reasonable insurance against poverty in old age.</w:t>
      </w:r>
    </w:p>
    <w:p w14:paraId="095CFC10"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w:t>
      </w:r>
      <w:proofErr w:type="spellStart"/>
      <w:r w:rsidRPr="002E0B80">
        <w:rPr>
          <w:rFonts w:ascii="Open Sans" w:eastAsia="Times New Roman" w:hAnsi="Open Sans" w:cs="Open Sans"/>
          <w:color w:val="747374"/>
          <w:sz w:val="24"/>
          <w:szCs w:val="24"/>
          <w:lang w:eastAsia="en-ZA"/>
        </w:rPr>
        <w:t>Indermit</w:t>
      </w:r>
      <w:proofErr w:type="spellEnd"/>
      <w:r w:rsidRPr="002E0B80">
        <w:rPr>
          <w:rFonts w:ascii="Open Sans" w:eastAsia="Times New Roman" w:hAnsi="Open Sans" w:cs="Open Sans"/>
          <w:color w:val="747374"/>
          <w:sz w:val="24"/>
          <w:szCs w:val="24"/>
          <w:lang w:eastAsia="en-ZA"/>
        </w:rPr>
        <w:t xml:space="preserve"> S Gill, Radu </w:t>
      </w:r>
      <w:proofErr w:type="spellStart"/>
      <w:r w:rsidRPr="002E0B80">
        <w:rPr>
          <w:rFonts w:ascii="Open Sans" w:eastAsia="Times New Roman" w:hAnsi="Open Sans" w:cs="Open Sans"/>
          <w:color w:val="747374"/>
          <w:sz w:val="24"/>
          <w:szCs w:val="24"/>
          <w:lang w:eastAsia="en-ZA"/>
        </w:rPr>
        <w:t>Tatucu</w:t>
      </w:r>
      <w:proofErr w:type="spellEnd"/>
      <w:r w:rsidRPr="002E0B80">
        <w:rPr>
          <w:rFonts w:ascii="Open Sans" w:eastAsia="Times New Roman" w:hAnsi="Open Sans" w:cs="Open Sans"/>
          <w:color w:val="747374"/>
          <w:sz w:val="24"/>
          <w:szCs w:val="24"/>
          <w:lang w:eastAsia="en-ZA"/>
        </w:rPr>
        <w:t xml:space="preserve"> Year: 2005</w:t>
      </w:r>
    </w:p>
    <w:p w14:paraId="4F3EAF41"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29" w:history="1">
        <w:r w:rsidRPr="002E0B80">
          <w:rPr>
            <w:rFonts w:ascii="Open Sans" w:eastAsia="Times New Roman" w:hAnsi="Open Sans" w:cs="Open Sans"/>
            <w:color w:val="0000FF"/>
            <w:sz w:val="24"/>
            <w:szCs w:val="24"/>
            <w:u w:val="single"/>
            <w:lang w:eastAsia="en-ZA"/>
          </w:rPr>
          <w:t>Tax and Pension Reform in the Czech Republic—Implications for Growth and Debt Sustainability</w:t>
        </w:r>
      </w:hyperlink>
    </w:p>
    <w:p w14:paraId="32D6285B"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The Czech Republic has embarked on an ambitious tax reform and expenditure package to bring the deficit sustainably below 3%. To address the long-term fiscal challenge stemming from population ageing, pension reform proposals are also being considered. This paper assesses the macroeconomic effects of these reforms. Using the two-country version of the IMF’s Global Fiscal Model, calibrated to the Czech economy, it analyses the impact of the reforms and the alternative proposals for addressing the challenge of long-run fiscal sustainability. Specifically, it asks: how will the tax and social expenditure reforms affect real activity? What are the macroeconomic implications of the different reform measures? What alternative reforms would be most efficient over the medium term? What are the long-term debt sustainability implications? What additional measures would be needed to address age-related spending pressures? It finds that the tax reform package could achieve a more efficient tax system. If it were implemented successfully with the intended measures to reduce expenditure, debt would improve markedly while output would expand. However, this would not be sufficient to restore </w:t>
      </w:r>
      <w:r w:rsidRPr="002E0B80">
        <w:rPr>
          <w:rFonts w:ascii="Open Sans" w:eastAsia="Times New Roman" w:hAnsi="Open Sans" w:cs="Open Sans"/>
          <w:color w:val="5F5B5C"/>
          <w:sz w:val="20"/>
          <w:szCs w:val="20"/>
          <w:lang w:eastAsia="en-ZA"/>
        </w:rPr>
        <w:lastRenderedPageBreak/>
        <w:t>fiscal sustainability. To make the system sustainable, the country would need to raise the retirement age while also prefunding future retirement costs.</w:t>
      </w:r>
    </w:p>
    <w:p w14:paraId="5CD6F96F"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Dennis </w:t>
      </w:r>
      <w:proofErr w:type="spellStart"/>
      <w:r w:rsidRPr="002E0B80">
        <w:rPr>
          <w:rFonts w:ascii="Open Sans" w:eastAsia="Times New Roman" w:hAnsi="Open Sans" w:cs="Open Sans"/>
          <w:color w:val="747374"/>
          <w:sz w:val="24"/>
          <w:szCs w:val="24"/>
          <w:lang w:eastAsia="en-ZA"/>
        </w:rPr>
        <w:t>Botman</w:t>
      </w:r>
      <w:proofErr w:type="spellEnd"/>
      <w:r w:rsidRPr="002E0B80">
        <w:rPr>
          <w:rFonts w:ascii="Open Sans" w:eastAsia="Times New Roman" w:hAnsi="Open Sans" w:cs="Open Sans"/>
          <w:color w:val="747374"/>
          <w:sz w:val="24"/>
          <w:szCs w:val="24"/>
          <w:lang w:eastAsia="en-ZA"/>
        </w:rPr>
        <w:t xml:space="preserve">, Anita </w:t>
      </w:r>
      <w:proofErr w:type="spellStart"/>
      <w:r w:rsidRPr="002E0B80">
        <w:rPr>
          <w:rFonts w:ascii="Open Sans" w:eastAsia="Times New Roman" w:hAnsi="Open Sans" w:cs="Open Sans"/>
          <w:color w:val="747374"/>
          <w:sz w:val="24"/>
          <w:szCs w:val="24"/>
          <w:lang w:eastAsia="en-ZA"/>
        </w:rPr>
        <w:t>Tuladhar</w:t>
      </w:r>
      <w:proofErr w:type="spellEnd"/>
      <w:r w:rsidRPr="002E0B80">
        <w:rPr>
          <w:rFonts w:ascii="Open Sans" w:eastAsia="Times New Roman" w:hAnsi="Open Sans" w:cs="Open Sans"/>
          <w:color w:val="747374"/>
          <w:sz w:val="24"/>
          <w:szCs w:val="24"/>
          <w:lang w:eastAsia="en-ZA"/>
        </w:rPr>
        <w:t xml:space="preserve"> Year: 2008</w:t>
      </w:r>
    </w:p>
    <w:p w14:paraId="3E2BF104"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0" w:history="1">
        <w:r w:rsidRPr="002E0B80">
          <w:rPr>
            <w:rFonts w:ascii="Open Sans" w:eastAsia="Times New Roman" w:hAnsi="Open Sans" w:cs="Open Sans"/>
            <w:color w:val="0000FF"/>
            <w:sz w:val="24"/>
            <w:szCs w:val="24"/>
            <w:u w:val="single"/>
            <w:lang w:eastAsia="en-ZA"/>
          </w:rPr>
          <w:t>The Automatic Balance Mechanism of the Swedish Pension System</w:t>
        </w:r>
      </w:hyperlink>
    </w:p>
    <w:p w14:paraId="36C9EA30"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The Swedish pay-as-you-go pension system has been designed to be financially stable, which means that it would be able to finance its obligations with a fixed contribution rate and fixed rules for calculating benefits, regardless of demographic or economic developments. However, such financial stability inevitably entails a risk that the value of pensions will vary over time. To minimise this variability while also securing the financial stability of the pension system, a set of asymmetrical indexing rules has been established. The rules aim to stabilise the level of pensions by indexing the liabilities of the pension system to the growth in average income in the economy. As the growth in average income will normally differ from the pension system’s internal rate of return, assets may grow faster than liabilities (or vice versa). If and when liabilities exceed assets, the basis for indexation is automatically switched to an approximation of the pension system’s internal rate of return, thus automatically adjusting pension levels as well. As soon as the pension system has been stabilised, the pension level is automatically re-established and the growth in average income is again used as the basis of indexation.</w:t>
      </w:r>
    </w:p>
    <w:p w14:paraId="7B2A1511"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Ole </w:t>
      </w:r>
      <w:proofErr w:type="spellStart"/>
      <w:r w:rsidRPr="002E0B80">
        <w:rPr>
          <w:rFonts w:ascii="Open Sans" w:eastAsia="Times New Roman" w:hAnsi="Open Sans" w:cs="Open Sans"/>
          <w:color w:val="747374"/>
          <w:sz w:val="24"/>
          <w:szCs w:val="24"/>
          <w:lang w:eastAsia="en-ZA"/>
        </w:rPr>
        <w:t>Settergren</w:t>
      </w:r>
      <w:proofErr w:type="spellEnd"/>
      <w:r w:rsidRPr="002E0B80">
        <w:rPr>
          <w:rFonts w:ascii="Open Sans" w:eastAsia="Times New Roman" w:hAnsi="Open Sans" w:cs="Open Sans"/>
          <w:color w:val="747374"/>
          <w:sz w:val="24"/>
          <w:szCs w:val="24"/>
          <w:lang w:eastAsia="en-ZA"/>
        </w:rPr>
        <w:t xml:space="preserve"> Year: 2001</w:t>
      </w:r>
    </w:p>
    <w:p w14:paraId="18772105"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1" w:history="1">
        <w:r w:rsidRPr="002E0B80">
          <w:rPr>
            <w:rFonts w:ascii="Open Sans" w:eastAsia="Times New Roman" w:hAnsi="Open Sans" w:cs="Open Sans"/>
            <w:color w:val="0000FF"/>
            <w:sz w:val="24"/>
            <w:szCs w:val="24"/>
            <w:u w:val="single"/>
            <w:lang w:eastAsia="en-ZA"/>
          </w:rPr>
          <w:t>The Economics of State and Local Public Pensions</w:t>
        </w:r>
      </w:hyperlink>
    </w:p>
    <w:p w14:paraId="2D3A6966"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The financial status of public pensions and retiree health plans in the United States is one of the most important public finance questions confronting state and local governments. By many accounts, the financial demands of paying public employee pensions threaten the ability of governments to adequately fund other priorities, including essential public services. The aim of this paper is to enhance understanding of the problems facing public retirement plans and to highlight important questions for future research on the economics of public pension systems. It provides an economics-based perspective on the financial aspects of state and local public pensions. Drawing on the research commissioned for an NBER research programme on this topic, it discusses the large degree to which public pension liabilities exceed the assets set aside to fund them. It summarises issues related to the optimality of prefunding, portfolio allocation and the discounting of liabilities, as well as how plans operate in practice. It also lays out an agenda for future research on the financial aspects of public pensions, retiree health plans for public employees, and issues related to plan design and labour market outcomes.</w:t>
      </w:r>
    </w:p>
    <w:p w14:paraId="34EA4AD1"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Jeffrey R Brown, Robert Clark, Joshua </w:t>
      </w:r>
      <w:proofErr w:type="spellStart"/>
      <w:r w:rsidRPr="002E0B80">
        <w:rPr>
          <w:rFonts w:ascii="Open Sans" w:eastAsia="Times New Roman" w:hAnsi="Open Sans" w:cs="Open Sans"/>
          <w:color w:val="747374"/>
          <w:sz w:val="24"/>
          <w:szCs w:val="24"/>
          <w:lang w:eastAsia="en-ZA"/>
        </w:rPr>
        <w:t>Rauh</w:t>
      </w:r>
      <w:proofErr w:type="spellEnd"/>
      <w:r w:rsidRPr="002E0B80">
        <w:rPr>
          <w:rFonts w:ascii="Open Sans" w:eastAsia="Times New Roman" w:hAnsi="Open Sans" w:cs="Open Sans"/>
          <w:color w:val="747374"/>
          <w:sz w:val="24"/>
          <w:szCs w:val="24"/>
          <w:lang w:eastAsia="en-ZA"/>
        </w:rPr>
        <w:t xml:space="preserve"> Year: 2011</w:t>
      </w:r>
    </w:p>
    <w:p w14:paraId="1B4508D2"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2" w:history="1">
        <w:r w:rsidRPr="002E0B80">
          <w:rPr>
            <w:rFonts w:ascii="Open Sans" w:eastAsia="Times New Roman" w:hAnsi="Open Sans" w:cs="Open Sans"/>
            <w:color w:val="0000FF"/>
            <w:sz w:val="24"/>
            <w:szCs w:val="24"/>
            <w:u w:val="single"/>
            <w:lang w:eastAsia="en-ZA"/>
          </w:rPr>
          <w:t>The Future of Social Security Pensions in Europe</w:t>
        </w:r>
      </w:hyperlink>
    </w:p>
    <w:p w14:paraId="42703269"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This paper discusses a possible solution to the twin problem that faces European governments in dealing with the future of social security pensions. Like many other governments, they must deal with the rising cost of pensions resulting from increasing life expectancy. But any solution must also be compatible with a labour market in which individuals from any member country are free to work anywhere within the European Union. This paper proposes a solution to this twin problem: combining an investment-based system of individual accounts with a ‘notional defined contribution’ system financed by pay-as-you-go taxes. The paper begins with a brief description of the current pension situation. It then discusses the option of a pure investment-based system of individual accounts. While attractive, this option involves a politically unacceptable degree of risk for future retirees. The paper then explores a mixed system that combines investment-based and pay-as-you-go elements. Although using a defined benefit form of the pay-as-you-go system for this purpose would create problems in the context of the integrated European labour market, a notional defined contribution system of the type </w:t>
      </w:r>
      <w:r w:rsidRPr="002E0B80">
        <w:rPr>
          <w:rFonts w:ascii="Open Sans" w:eastAsia="Times New Roman" w:hAnsi="Open Sans" w:cs="Open Sans"/>
          <w:color w:val="5F5B5C"/>
          <w:sz w:val="20"/>
          <w:szCs w:val="20"/>
          <w:lang w:eastAsia="en-ZA"/>
        </w:rPr>
        <w:lastRenderedPageBreak/>
        <w:t>described in the paper would avoid these problems and therefore provide a potential solution to the twin problems.</w:t>
      </w:r>
    </w:p>
    <w:p w14:paraId="654AC2FB"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Martin Feldstein Year: 2001</w:t>
      </w:r>
    </w:p>
    <w:p w14:paraId="0026F30D"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3" w:history="1">
        <w:r w:rsidRPr="002E0B80">
          <w:rPr>
            <w:rFonts w:ascii="Open Sans" w:eastAsia="Times New Roman" w:hAnsi="Open Sans" w:cs="Open Sans"/>
            <w:color w:val="0000FF"/>
            <w:sz w:val="24"/>
            <w:szCs w:val="24"/>
            <w:u w:val="single"/>
            <w:lang w:eastAsia="en-ZA"/>
          </w:rPr>
          <w:t>The National Pension Scheme of the Republic of Korea</w:t>
        </w:r>
      </w:hyperlink>
    </w:p>
    <w:p w14:paraId="7146E15B"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This paper presents the experience of the Republic of Korea in setting up a National Pension Scheme (NPS) and assesses its likely effectiveness in coping with future challenges. The Korean NPS has features of both a pay-as-you-go system (it does not have adequate reserves to guarantee the promised annuities) and a fully funded system (payments are regularly made into a pension fund, which could then be invested). It also has aspects of both public and private pension systems – public in terms of the management and regulation of its coverage and benefits, and private in terms of its financing (the central government subsides only the operational expenses of the management agency). The Korean NPS is likely to face future challenges due to rapid population ageing and low fertility. These changes may seriously test its viability, as it seems to have expanded too fast too soon. The paper provides two main lessons for other developing countries: (</w:t>
      </w:r>
      <w:proofErr w:type="spellStart"/>
      <w:r w:rsidRPr="002E0B80">
        <w:rPr>
          <w:rFonts w:ascii="Open Sans" w:eastAsia="Times New Roman" w:hAnsi="Open Sans" w:cs="Open Sans"/>
          <w:color w:val="5F5B5C"/>
          <w:sz w:val="20"/>
          <w:szCs w:val="20"/>
          <w:lang w:eastAsia="en-ZA"/>
        </w:rPr>
        <w:t>i</w:t>
      </w:r>
      <w:proofErr w:type="spellEnd"/>
      <w:r w:rsidRPr="002E0B80">
        <w:rPr>
          <w:rFonts w:ascii="Open Sans" w:eastAsia="Times New Roman" w:hAnsi="Open Sans" w:cs="Open Sans"/>
          <w:color w:val="5F5B5C"/>
          <w:sz w:val="20"/>
          <w:szCs w:val="20"/>
          <w:lang w:eastAsia="en-ZA"/>
        </w:rPr>
        <w:t>) a pension system should be based on accurate financial and demographic projections; and (ii) it is better to take a gradual approach, such as starting with a limited coverage, low-benefit package and upgrading it over time in line with the performance of the economy.</w:t>
      </w:r>
    </w:p>
    <w:p w14:paraId="474063A2"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Bong-min Yang Year: 2001</w:t>
      </w:r>
    </w:p>
    <w:p w14:paraId="0C3B2495"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4" w:history="1">
        <w:r w:rsidRPr="002E0B80">
          <w:rPr>
            <w:rFonts w:ascii="Open Sans" w:eastAsia="Times New Roman" w:hAnsi="Open Sans" w:cs="Open Sans"/>
            <w:color w:val="0000FF"/>
            <w:sz w:val="24"/>
            <w:szCs w:val="24"/>
            <w:u w:val="single"/>
            <w:lang w:eastAsia="en-ZA"/>
          </w:rPr>
          <w:t>The Role of Pension Funds during the Financial Crisis</w:t>
        </w:r>
      </w:hyperlink>
    </w:p>
    <w:p w14:paraId="53F71CBA"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Pension funds based on individual capitalisation may accumulate a large volume of resources relative to the size of the economy. The investment decisions of the larger pension funds may influence domestic markets. This paper reviews the performance of pension funds as financiers in the private sector against the backdrop of the contraction in bank credit to firms during the subprime crisis. It assesses three Latin American countries with individually funded pension systems – Chile, Colombia and Peru. Firms that use an alternative to bank credit, such as issuing bonds or shares, can only obtain finance if investors are willing to buy these products. In contrast, the flow of resources to pension funds does not fluctuate with the business cycle, and their availability is relatively stable. This puts these funds in a stronger position during downturns. The paper shows that the bank credit squeeze increased the use of alternative debt instruments, which served as a substitute for bank credit. Pension funds held a large </w:t>
      </w:r>
      <w:proofErr w:type="gramStart"/>
      <w:r w:rsidRPr="002E0B80">
        <w:rPr>
          <w:rFonts w:ascii="Open Sans" w:eastAsia="Times New Roman" w:hAnsi="Open Sans" w:cs="Open Sans"/>
          <w:color w:val="5F5B5C"/>
          <w:sz w:val="20"/>
          <w:szCs w:val="20"/>
          <w:lang w:eastAsia="en-ZA"/>
        </w:rPr>
        <w:t>amount</w:t>
      </w:r>
      <w:proofErr w:type="gramEnd"/>
      <w:r w:rsidRPr="002E0B80">
        <w:rPr>
          <w:rFonts w:ascii="Open Sans" w:eastAsia="Times New Roman" w:hAnsi="Open Sans" w:cs="Open Sans"/>
          <w:color w:val="5F5B5C"/>
          <w:sz w:val="20"/>
          <w:szCs w:val="20"/>
          <w:lang w:eastAsia="en-ZA"/>
        </w:rPr>
        <w:t xml:space="preserve"> of resources invested in these products. It also shows that Chile’s pension funds helped to increase liquidity between September 2008 and April 2009, due to the significant </w:t>
      </w:r>
      <w:proofErr w:type="gramStart"/>
      <w:r w:rsidRPr="002E0B80">
        <w:rPr>
          <w:rFonts w:ascii="Open Sans" w:eastAsia="Times New Roman" w:hAnsi="Open Sans" w:cs="Open Sans"/>
          <w:color w:val="5F5B5C"/>
          <w:sz w:val="20"/>
          <w:szCs w:val="20"/>
          <w:lang w:eastAsia="en-ZA"/>
        </w:rPr>
        <w:t>amount</w:t>
      </w:r>
      <w:proofErr w:type="gramEnd"/>
      <w:r w:rsidRPr="002E0B80">
        <w:rPr>
          <w:rFonts w:ascii="Open Sans" w:eastAsia="Times New Roman" w:hAnsi="Open Sans" w:cs="Open Sans"/>
          <w:color w:val="5F5B5C"/>
          <w:sz w:val="20"/>
          <w:szCs w:val="20"/>
          <w:lang w:eastAsia="en-ZA"/>
        </w:rPr>
        <w:t xml:space="preserve"> of resources they held in time deposits.</w:t>
      </w:r>
    </w:p>
    <w:p w14:paraId="4A15F90A"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Soledad </w:t>
      </w:r>
      <w:proofErr w:type="spellStart"/>
      <w:r w:rsidRPr="002E0B80">
        <w:rPr>
          <w:rFonts w:ascii="Open Sans" w:eastAsia="Times New Roman" w:hAnsi="Open Sans" w:cs="Open Sans"/>
          <w:color w:val="747374"/>
          <w:sz w:val="24"/>
          <w:szCs w:val="24"/>
          <w:lang w:eastAsia="en-ZA"/>
        </w:rPr>
        <w:t>Hormazábal</w:t>
      </w:r>
      <w:proofErr w:type="spellEnd"/>
      <w:r w:rsidRPr="002E0B80">
        <w:rPr>
          <w:rFonts w:ascii="Open Sans" w:eastAsia="Times New Roman" w:hAnsi="Open Sans" w:cs="Open Sans"/>
          <w:color w:val="747374"/>
          <w:sz w:val="24"/>
          <w:szCs w:val="24"/>
          <w:lang w:eastAsia="en-ZA"/>
        </w:rPr>
        <w:t xml:space="preserve"> Year: 2011</w:t>
      </w:r>
    </w:p>
    <w:p w14:paraId="47FFDCEF"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5" w:history="1">
        <w:r w:rsidRPr="002E0B80">
          <w:rPr>
            <w:rFonts w:ascii="Open Sans" w:eastAsia="Times New Roman" w:hAnsi="Open Sans" w:cs="Open Sans"/>
            <w:color w:val="0000FF"/>
            <w:sz w:val="24"/>
            <w:szCs w:val="24"/>
            <w:u w:val="single"/>
            <w:lang w:eastAsia="en-ZA"/>
          </w:rPr>
          <w:t>The Swedish Welfare State: The Role of Supplementary Compensations</w:t>
        </w:r>
      </w:hyperlink>
    </w:p>
    <w:p w14:paraId="3DCB90AB"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 xml:space="preserve">The Swedish welfare state has a social security system that covers, and provides high levels of compensation for, many forms of income loss. These include sick leave, parental leave, disability, work injury, unemployment and retirement. But there are also complementing compensation systems, the most important being those established by collective agreements between unions and employer associations. Some are organised as insurance, and others as an agreement that the employer should pay compensation. Still other forms are based on collective agreements, for example complementing unemployment insurance for union members. Although organised in different ways, these complementary sources of compensation add to the social insurance in more or less the same way. They may provide compensation under the ceiling of the social insurance systems; they may provide compensation above the ceiling (and more or less eliminate the effects of the ceiling); or they may lengthen the compensation period in some cases. This means that the consolidated welfare state differs in a systematic way from that </w:t>
      </w:r>
      <w:r w:rsidRPr="002E0B80">
        <w:rPr>
          <w:rFonts w:ascii="Open Sans" w:eastAsia="Times New Roman" w:hAnsi="Open Sans" w:cs="Open Sans"/>
          <w:color w:val="5F5B5C"/>
          <w:sz w:val="20"/>
          <w:szCs w:val="20"/>
          <w:lang w:eastAsia="en-ZA"/>
        </w:rPr>
        <w:lastRenderedPageBreak/>
        <w:t>determined by the parliament. This paper describes the differences between the traditional and the consolidated welfare states and discusses the factors that determine these differences.</w:t>
      </w:r>
    </w:p>
    <w:p w14:paraId="4579D3C7"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Gabriella </w:t>
      </w:r>
      <w:proofErr w:type="spellStart"/>
      <w:r w:rsidRPr="002E0B80">
        <w:rPr>
          <w:rFonts w:ascii="Open Sans" w:eastAsia="Times New Roman" w:hAnsi="Open Sans" w:cs="Open Sans"/>
          <w:color w:val="747374"/>
          <w:sz w:val="24"/>
          <w:szCs w:val="24"/>
          <w:lang w:eastAsia="en-ZA"/>
        </w:rPr>
        <w:t>Sjo</w:t>
      </w:r>
      <w:r w:rsidRPr="002E0B80">
        <w:rPr>
          <w:rFonts w:ascii="Arial" w:eastAsia="Times New Roman" w:hAnsi="Arial" w:cs="Arial"/>
          <w:color w:val="747374"/>
          <w:sz w:val="24"/>
          <w:szCs w:val="24"/>
          <w:lang w:eastAsia="en-ZA"/>
        </w:rPr>
        <w:t>̈</w:t>
      </w:r>
      <w:r w:rsidRPr="002E0B80">
        <w:rPr>
          <w:rFonts w:ascii="Open Sans" w:eastAsia="Times New Roman" w:hAnsi="Open Sans" w:cs="Open Sans"/>
          <w:color w:val="747374"/>
          <w:sz w:val="24"/>
          <w:szCs w:val="24"/>
          <w:lang w:eastAsia="en-ZA"/>
        </w:rPr>
        <w:t>gren</w:t>
      </w:r>
      <w:proofErr w:type="spellEnd"/>
      <w:r w:rsidRPr="002E0B80">
        <w:rPr>
          <w:rFonts w:ascii="Open Sans" w:eastAsia="Times New Roman" w:hAnsi="Open Sans" w:cs="Open Sans"/>
          <w:color w:val="747374"/>
          <w:sz w:val="24"/>
          <w:szCs w:val="24"/>
          <w:lang w:eastAsia="en-ZA"/>
        </w:rPr>
        <w:t xml:space="preserve"> Lindquist, </w:t>
      </w:r>
      <w:proofErr w:type="spellStart"/>
      <w:r w:rsidRPr="002E0B80">
        <w:rPr>
          <w:rFonts w:ascii="Open Sans" w:eastAsia="Times New Roman" w:hAnsi="Open Sans" w:cs="Open Sans"/>
          <w:color w:val="747374"/>
          <w:sz w:val="24"/>
          <w:szCs w:val="24"/>
          <w:lang w:eastAsia="en-ZA"/>
        </w:rPr>
        <w:t>Eskil</w:t>
      </w:r>
      <w:proofErr w:type="spellEnd"/>
      <w:r w:rsidRPr="002E0B80">
        <w:rPr>
          <w:rFonts w:ascii="Open Sans" w:eastAsia="Times New Roman" w:hAnsi="Open Sans" w:cs="Open Sans"/>
          <w:color w:val="747374"/>
          <w:sz w:val="24"/>
          <w:szCs w:val="24"/>
          <w:lang w:eastAsia="en-ZA"/>
        </w:rPr>
        <w:t xml:space="preserve"> </w:t>
      </w:r>
      <w:proofErr w:type="spellStart"/>
      <w:r w:rsidRPr="002E0B80">
        <w:rPr>
          <w:rFonts w:ascii="Open Sans" w:eastAsia="Times New Roman" w:hAnsi="Open Sans" w:cs="Open Sans"/>
          <w:color w:val="747374"/>
          <w:sz w:val="24"/>
          <w:szCs w:val="24"/>
          <w:lang w:eastAsia="en-ZA"/>
        </w:rPr>
        <w:t>Wadensjo</w:t>
      </w:r>
      <w:proofErr w:type="spellEnd"/>
      <w:r w:rsidRPr="002E0B80">
        <w:rPr>
          <w:rFonts w:ascii="Arial" w:eastAsia="Times New Roman" w:hAnsi="Arial" w:cs="Arial"/>
          <w:color w:val="747374"/>
          <w:sz w:val="24"/>
          <w:szCs w:val="24"/>
          <w:lang w:eastAsia="en-ZA"/>
        </w:rPr>
        <w:t>̈</w:t>
      </w:r>
      <w:r w:rsidRPr="002E0B80">
        <w:rPr>
          <w:rFonts w:ascii="Open Sans" w:eastAsia="Times New Roman" w:hAnsi="Open Sans" w:cs="Open Sans"/>
          <w:color w:val="747374"/>
          <w:sz w:val="24"/>
          <w:szCs w:val="24"/>
          <w:lang w:eastAsia="en-ZA"/>
        </w:rPr>
        <w:t xml:space="preserve"> Year: 2006</w:t>
      </w:r>
    </w:p>
    <w:p w14:paraId="6DBE4318"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6" w:history="1">
        <w:r w:rsidRPr="002E0B80">
          <w:rPr>
            <w:rFonts w:ascii="Open Sans" w:eastAsia="Times New Roman" w:hAnsi="Open Sans" w:cs="Open Sans"/>
            <w:color w:val="0000FF"/>
            <w:sz w:val="24"/>
            <w:szCs w:val="24"/>
            <w:u w:val="single"/>
            <w:lang w:eastAsia="en-ZA"/>
          </w:rPr>
          <w:t>The Unification of the Social Insurance Contribution Collection System in Korea</w:t>
        </w:r>
      </w:hyperlink>
    </w:p>
    <w:p w14:paraId="3720ECB3"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Korea introduced industrial accident insurance in 1964, medical insurance in 1977, pension insurance in 1988, and employment insurance in 1995. In line with the country’s economic development, social insurance coverage has grown rapidly, and contribution coverage rates now generally exceed 80% for regular workers. However, the four social insurance systems developed separately, and contributions are collected by different ministries (Labour, and Health and Welfare). The separate collection systems have been administratively costly and the process inconvenient. This has contributed to continuing low insurance coverage rates, particularly for non-regular workers and employees of small firms. The need to reform collection procedures has been debated for over a decade. This paper summarises the analysis and conclusions of the Task Force on Unification of Contribution Collection set up in 2005 by the Presidential Commission on Social Inclusion. After a year of in-depth debate among stakeholders, as of February 2007, the texts of several revised laws to implement a new collection system for contributions were being deliberated in the National Assembly. Much else needs to be done, including the creation of a single agency for collecting contributions to social insurance. Unifying such collections with tax collections is a more distant objective.</w:t>
      </w:r>
    </w:p>
    <w:p w14:paraId="052567F9" w14:textId="77777777" w:rsidR="002E0B80" w:rsidRPr="002E0B80" w:rsidRDefault="002E0B80" w:rsidP="002E0B80">
      <w:pPr>
        <w:spacing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 xml:space="preserve">Author: </w:t>
      </w:r>
      <w:proofErr w:type="spellStart"/>
      <w:r w:rsidRPr="002E0B80">
        <w:rPr>
          <w:rFonts w:ascii="Open Sans" w:eastAsia="Times New Roman" w:hAnsi="Open Sans" w:cs="Open Sans"/>
          <w:color w:val="747374"/>
          <w:sz w:val="24"/>
          <w:szCs w:val="24"/>
          <w:lang w:eastAsia="en-ZA"/>
        </w:rPr>
        <w:t>Sinchul</w:t>
      </w:r>
      <w:proofErr w:type="spellEnd"/>
      <w:r w:rsidRPr="002E0B80">
        <w:rPr>
          <w:rFonts w:ascii="Open Sans" w:eastAsia="Times New Roman" w:hAnsi="Open Sans" w:cs="Open Sans"/>
          <w:color w:val="747374"/>
          <w:sz w:val="24"/>
          <w:szCs w:val="24"/>
          <w:lang w:eastAsia="en-ZA"/>
        </w:rPr>
        <w:t xml:space="preserve"> Yang Year: 2007</w:t>
      </w:r>
    </w:p>
    <w:p w14:paraId="07125FE0" w14:textId="77777777" w:rsidR="002E0B80" w:rsidRPr="002E0B80" w:rsidRDefault="002E0B80" w:rsidP="002E0B80">
      <w:pPr>
        <w:spacing w:after="0" w:line="240" w:lineRule="auto"/>
        <w:textAlignment w:val="center"/>
        <w:rPr>
          <w:rFonts w:ascii="Open Sans" w:eastAsia="Times New Roman" w:hAnsi="Open Sans" w:cs="Open Sans"/>
          <w:color w:val="231F20"/>
          <w:sz w:val="24"/>
          <w:szCs w:val="24"/>
          <w:lang w:eastAsia="en-ZA"/>
        </w:rPr>
      </w:pPr>
      <w:hyperlink r:id="rId37" w:history="1">
        <w:r w:rsidRPr="002E0B80">
          <w:rPr>
            <w:rFonts w:ascii="Open Sans" w:eastAsia="Times New Roman" w:hAnsi="Open Sans" w:cs="Open Sans"/>
            <w:color w:val="0000FF"/>
            <w:sz w:val="24"/>
            <w:szCs w:val="24"/>
            <w:u w:val="single"/>
            <w:lang w:eastAsia="en-ZA"/>
          </w:rPr>
          <w:t>World Social Security Report 2010/11: Providing Coverage in Times of Crisis and Beyond</w:t>
        </w:r>
      </w:hyperlink>
    </w:p>
    <w:p w14:paraId="66F4D27D" w14:textId="77777777" w:rsidR="002E0B80" w:rsidRPr="002E0B80" w:rsidRDefault="002E0B80" w:rsidP="002E0B80">
      <w:pPr>
        <w:spacing w:after="0" w:line="240" w:lineRule="auto"/>
        <w:textAlignment w:val="center"/>
        <w:rPr>
          <w:rFonts w:ascii="Open Sans" w:eastAsia="Times New Roman" w:hAnsi="Open Sans" w:cs="Open Sans"/>
          <w:color w:val="5F5B5C"/>
          <w:sz w:val="20"/>
          <w:szCs w:val="20"/>
          <w:lang w:eastAsia="en-ZA"/>
        </w:rPr>
      </w:pPr>
      <w:r w:rsidRPr="002E0B80">
        <w:rPr>
          <w:rFonts w:ascii="Open Sans" w:eastAsia="Times New Roman" w:hAnsi="Open Sans" w:cs="Open Sans"/>
          <w:color w:val="5F5B5C"/>
          <w:sz w:val="20"/>
          <w:szCs w:val="20"/>
          <w:lang w:eastAsia="en-ZA"/>
        </w:rPr>
        <w:t>Sound social security policies have to be based on sound analysis. This report provides a factual basis to support the development of national social security policies. It is the first in a series of World Social Security Reports, which will also help to monitor the global progress on social security coverage. The report deals first with the scope, extent, levels and quality of coverage by various social security branches. It then examines the scale of countries’ investments in social security, measured by the size and structure of social security expenditure and the sources of its financing. Finally, it presents the nature of social security responses to the crisis as a thematic focus. The main objective of the current report is to present the knowledge available on social security coverage in different parts of the world and to identify gaps in such coverage. Nearly all countries provide some level of social security, although only a third (covering 28% of the world population) provide comprehensive support. Thus, a fundamental task is to develop comprehensive social security systems in countries that have only rudimentary systems, starting with the provision of basic income security and affordable access to essential healthcare.</w:t>
      </w:r>
    </w:p>
    <w:p w14:paraId="593BF580" w14:textId="77777777" w:rsidR="002E0B80" w:rsidRPr="002E0B80" w:rsidRDefault="002E0B80" w:rsidP="002E0B80">
      <w:pPr>
        <w:spacing w:after="0" w:line="240" w:lineRule="auto"/>
        <w:textAlignment w:val="center"/>
        <w:rPr>
          <w:rFonts w:ascii="Open Sans" w:eastAsia="Times New Roman" w:hAnsi="Open Sans" w:cs="Open Sans"/>
          <w:color w:val="747374"/>
          <w:sz w:val="24"/>
          <w:szCs w:val="24"/>
          <w:lang w:eastAsia="en-ZA"/>
        </w:rPr>
      </w:pPr>
      <w:r w:rsidRPr="002E0B80">
        <w:rPr>
          <w:rFonts w:ascii="Open Sans" w:eastAsia="Times New Roman" w:hAnsi="Open Sans" w:cs="Open Sans"/>
          <w:color w:val="747374"/>
          <w:sz w:val="24"/>
          <w:szCs w:val="24"/>
          <w:lang w:eastAsia="en-ZA"/>
        </w:rPr>
        <w:t>Author: International Labour Office Year: 2010</w:t>
      </w:r>
    </w:p>
    <w:p w14:paraId="1B7A630C" w14:textId="77777777" w:rsidR="002E0B80" w:rsidRDefault="002E0B80"/>
    <w:sectPr w:rsidR="002E0B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0B80"/>
    <w:rsid w:val="002E0B8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A5299"/>
  <w15:chartTrackingRefBased/>
  <w15:docId w15:val="{B4DDFBCE-8212-45FD-8599-876F8C2FA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E0B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9567715">
      <w:bodyDiv w:val="1"/>
      <w:marLeft w:val="0"/>
      <w:marRight w:val="0"/>
      <w:marTop w:val="0"/>
      <w:marBottom w:val="0"/>
      <w:divBdr>
        <w:top w:val="none" w:sz="0" w:space="0" w:color="auto"/>
        <w:left w:val="none" w:sz="0" w:space="0" w:color="auto"/>
        <w:bottom w:val="none" w:sz="0" w:space="0" w:color="auto"/>
        <w:right w:val="none" w:sz="0" w:space="0" w:color="auto"/>
      </w:divBdr>
      <w:divsChild>
        <w:div w:id="1589148873">
          <w:marLeft w:val="0"/>
          <w:marRight w:val="0"/>
          <w:marTop w:val="0"/>
          <w:marBottom w:val="0"/>
          <w:divBdr>
            <w:top w:val="none" w:sz="0" w:space="0" w:color="E1E1E1"/>
            <w:left w:val="none" w:sz="0" w:space="0" w:color="E1E1E1"/>
            <w:bottom w:val="single" w:sz="6" w:space="0" w:color="E1E1E1"/>
            <w:right w:val="none" w:sz="0" w:space="0" w:color="E1E1E1"/>
          </w:divBdr>
          <w:divsChild>
            <w:div w:id="541867942">
              <w:marLeft w:val="0"/>
              <w:marRight w:val="0"/>
              <w:marTop w:val="0"/>
              <w:marBottom w:val="204"/>
              <w:divBdr>
                <w:top w:val="none" w:sz="0" w:space="0" w:color="auto"/>
                <w:left w:val="none" w:sz="0" w:space="0" w:color="auto"/>
                <w:bottom w:val="none" w:sz="0" w:space="0" w:color="auto"/>
                <w:right w:val="none" w:sz="0" w:space="0" w:color="auto"/>
              </w:divBdr>
              <w:divsChild>
                <w:div w:id="1461653839">
                  <w:marLeft w:val="0"/>
                  <w:marRight w:val="0"/>
                  <w:marTop w:val="0"/>
                  <w:marBottom w:val="0"/>
                  <w:divBdr>
                    <w:top w:val="none" w:sz="0" w:space="0" w:color="auto"/>
                    <w:left w:val="none" w:sz="0" w:space="0" w:color="auto"/>
                    <w:bottom w:val="none" w:sz="0" w:space="0" w:color="auto"/>
                    <w:right w:val="none" w:sz="0" w:space="0" w:color="auto"/>
                  </w:divBdr>
                  <w:divsChild>
                    <w:div w:id="456677182">
                      <w:marLeft w:val="0"/>
                      <w:marRight w:val="0"/>
                      <w:marTop w:val="0"/>
                      <w:marBottom w:val="0"/>
                      <w:divBdr>
                        <w:top w:val="none" w:sz="0" w:space="0" w:color="auto"/>
                        <w:left w:val="none" w:sz="0" w:space="0" w:color="auto"/>
                        <w:bottom w:val="none" w:sz="0" w:space="0" w:color="auto"/>
                        <w:right w:val="none" w:sz="0" w:space="0" w:color="auto"/>
                      </w:divBdr>
                    </w:div>
                    <w:div w:id="324170438">
                      <w:marLeft w:val="0"/>
                      <w:marRight w:val="0"/>
                      <w:marTop w:val="60"/>
                      <w:marBottom w:val="0"/>
                      <w:divBdr>
                        <w:top w:val="none" w:sz="0" w:space="0" w:color="auto"/>
                        <w:left w:val="none" w:sz="0" w:space="0" w:color="auto"/>
                        <w:bottom w:val="none" w:sz="0" w:space="0" w:color="auto"/>
                        <w:right w:val="none" w:sz="0" w:space="0" w:color="auto"/>
                      </w:divBdr>
                    </w:div>
                    <w:div w:id="11818941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96371341">
          <w:marLeft w:val="0"/>
          <w:marRight w:val="0"/>
          <w:marTop w:val="204"/>
          <w:marBottom w:val="0"/>
          <w:divBdr>
            <w:top w:val="none" w:sz="0" w:space="0" w:color="E1E1E1"/>
            <w:left w:val="none" w:sz="0" w:space="0" w:color="E1E1E1"/>
            <w:bottom w:val="single" w:sz="6" w:space="0" w:color="E1E1E1"/>
            <w:right w:val="none" w:sz="0" w:space="0" w:color="E1E1E1"/>
          </w:divBdr>
          <w:divsChild>
            <w:div w:id="1101490363">
              <w:marLeft w:val="0"/>
              <w:marRight w:val="0"/>
              <w:marTop w:val="0"/>
              <w:marBottom w:val="204"/>
              <w:divBdr>
                <w:top w:val="none" w:sz="0" w:space="0" w:color="auto"/>
                <w:left w:val="none" w:sz="0" w:space="0" w:color="auto"/>
                <w:bottom w:val="none" w:sz="0" w:space="0" w:color="auto"/>
                <w:right w:val="none" w:sz="0" w:space="0" w:color="auto"/>
              </w:divBdr>
              <w:divsChild>
                <w:div w:id="297303564">
                  <w:marLeft w:val="0"/>
                  <w:marRight w:val="0"/>
                  <w:marTop w:val="0"/>
                  <w:marBottom w:val="0"/>
                  <w:divBdr>
                    <w:top w:val="none" w:sz="0" w:space="0" w:color="auto"/>
                    <w:left w:val="none" w:sz="0" w:space="0" w:color="auto"/>
                    <w:bottom w:val="none" w:sz="0" w:space="0" w:color="auto"/>
                    <w:right w:val="none" w:sz="0" w:space="0" w:color="auto"/>
                  </w:divBdr>
                  <w:divsChild>
                    <w:div w:id="1420448219">
                      <w:marLeft w:val="0"/>
                      <w:marRight w:val="0"/>
                      <w:marTop w:val="0"/>
                      <w:marBottom w:val="0"/>
                      <w:divBdr>
                        <w:top w:val="none" w:sz="0" w:space="0" w:color="auto"/>
                        <w:left w:val="none" w:sz="0" w:space="0" w:color="auto"/>
                        <w:bottom w:val="none" w:sz="0" w:space="0" w:color="auto"/>
                        <w:right w:val="none" w:sz="0" w:space="0" w:color="auto"/>
                      </w:divBdr>
                    </w:div>
                    <w:div w:id="1891259966">
                      <w:marLeft w:val="0"/>
                      <w:marRight w:val="0"/>
                      <w:marTop w:val="60"/>
                      <w:marBottom w:val="0"/>
                      <w:divBdr>
                        <w:top w:val="none" w:sz="0" w:space="0" w:color="auto"/>
                        <w:left w:val="none" w:sz="0" w:space="0" w:color="auto"/>
                        <w:bottom w:val="none" w:sz="0" w:space="0" w:color="auto"/>
                        <w:right w:val="none" w:sz="0" w:space="0" w:color="auto"/>
                      </w:divBdr>
                    </w:div>
                    <w:div w:id="49067789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11404402">
          <w:marLeft w:val="0"/>
          <w:marRight w:val="0"/>
          <w:marTop w:val="204"/>
          <w:marBottom w:val="0"/>
          <w:divBdr>
            <w:top w:val="none" w:sz="0" w:space="0" w:color="E1E1E1"/>
            <w:left w:val="none" w:sz="0" w:space="0" w:color="E1E1E1"/>
            <w:bottom w:val="single" w:sz="6" w:space="0" w:color="E1E1E1"/>
            <w:right w:val="none" w:sz="0" w:space="0" w:color="E1E1E1"/>
          </w:divBdr>
          <w:divsChild>
            <w:div w:id="516504645">
              <w:marLeft w:val="0"/>
              <w:marRight w:val="0"/>
              <w:marTop w:val="0"/>
              <w:marBottom w:val="204"/>
              <w:divBdr>
                <w:top w:val="none" w:sz="0" w:space="0" w:color="auto"/>
                <w:left w:val="none" w:sz="0" w:space="0" w:color="auto"/>
                <w:bottom w:val="none" w:sz="0" w:space="0" w:color="auto"/>
                <w:right w:val="none" w:sz="0" w:space="0" w:color="auto"/>
              </w:divBdr>
              <w:divsChild>
                <w:div w:id="16587168">
                  <w:marLeft w:val="0"/>
                  <w:marRight w:val="0"/>
                  <w:marTop w:val="0"/>
                  <w:marBottom w:val="0"/>
                  <w:divBdr>
                    <w:top w:val="none" w:sz="0" w:space="0" w:color="auto"/>
                    <w:left w:val="none" w:sz="0" w:space="0" w:color="auto"/>
                    <w:bottom w:val="none" w:sz="0" w:space="0" w:color="auto"/>
                    <w:right w:val="none" w:sz="0" w:space="0" w:color="auto"/>
                  </w:divBdr>
                  <w:divsChild>
                    <w:div w:id="4987838">
                      <w:marLeft w:val="0"/>
                      <w:marRight w:val="0"/>
                      <w:marTop w:val="0"/>
                      <w:marBottom w:val="0"/>
                      <w:divBdr>
                        <w:top w:val="none" w:sz="0" w:space="0" w:color="auto"/>
                        <w:left w:val="none" w:sz="0" w:space="0" w:color="auto"/>
                        <w:bottom w:val="none" w:sz="0" w:space="0" w:color="auto"/>
                        <w:right w:val="none" w:sz="0" w:space="0" w:color="auto"/>
                      </w:divBdr>
                    </w:div>
                    <w:div w:id="1587568079">
                      <w:marLeft w:val="0"/>
                      <w:marRight w:val="0"/>
                      <w:marTop w:val="60"/>
                      <w:marBottom w:val="0"/>
                      <w:divBdr>
                        <w:top w:val="none" w:sz="0" w:space="0" w:color="auto"/>
                        <w:left w:val="none" w:sz="0" w:space="0" w:color="auto"/>
                        <w:bottom w:val="none" w:sz="0" w:space="0" w:color="auto"/>
                        <w:right w:val="none" w:sz="0" w:space="0" w:color="auto"/>
                      </w:divBdr>
                    </w:div>
                    <w:div w:id="19392144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99297928">
          <w:marLeft w:val="0"/>
          <w:marRight w:val="0"/>
          <w:marTop w:val="204"/>
          <w:marBottom w:val="0"/>
          <w:divBdr>
            <w:top w:val="none" w:sz="0" w:space="0" w:color="E1E1E1"/>
            <w:left w:val="none" w:sz="0" w:space="0" w:color="E1E1E1"/>
            <w:bottom w:val="single" w:sz="6" w:space="0" w:color="E1E1E1"/>
            <w:right w:val="none" w:sz="0" w:space="0" w:color="E1E1E1"/>
          </w:divBdr>
          <w:divsChild>
            <w:div w:id="877162475">
              <w:marLeft w:val="0"/>
              <w:marRight w:val="0"/>
              <w:marTop w:val="0"/>
              <w:marBottom w:val="204"/>
              <w:divBdr>
                <w:top w:val="none" w:sz="0" w:space="0" w:color="auto"/>
                <w:left w:val="none" w:sz="0" w:space="0" w:color="auto"/>
                <w:bottom w:val="none" w:sz="0" w:space="0" w:color="auto"/>
                <w:right w:val="none" w:sz="0" w:space="0" w:color="auto"/>
              </w:divBdr>
              <w:divsChild>
                <w:div w:id="1032457925">
                  <w:marLeft w:val="0"/>
                  <w:marRight w:val="0"/>
                  <w:marTop w:val="0"/>
                  <w:marBottom w:val="0"/>
                  <w:divBdr>
                    <w:top w:val="none" w:sz="0" w:space="0" w:color="auto"/>
                    <w:left w:val="none" w:sz="0" w:space="0" w:color="auto"/>
                    <w:bottom w:val="none" w:sz="0" w:space="0" w:color="auto"/>
                    <w:right w:val="none" w:sz="0" w:space="0" w:color="auto"/>
                  </w:divBdr>
                  <w:divsChild>
                    <w:div w:id="1785612359">
                      <w:marLeft w:val="0"/>
                      <w:marRight w:val="0"/>
                      <w:marTop w:val="0"/>
                      <w:marBottom w:val="0"/>
                      <w:divBdr>
                        <w:top w:val="none" w:sz="0" w:space="0" w:color="auto"/>
                        <w:left w:val="none" w:sz="0" w:space="0" w:color="auto"/>
                        <w:bottom w:val="none" w:sz="0" w:space="0" w:color="auto"/>
                        <w:right w:val="none" w:sz="0" w:space="0" w:color="auto"/>
                      </w:divBdr>
                    </w:div>
                    <w:div w:id="1779138182">
                      <w:marLeft w:val="0"/>
                      <w:marRight w:val="0"/>
                      <w:marTop w:val="60"/>
                      <w:marBottom w:val="0"/>
                      <w:divBdr>
                        <w:top w:val="none" w:sz="0" w:space="0" w:color="auto"/>
                        <w:left w:val="none" w:sz="0" w:space="0" w:color="auto"/>
                        <w:bottom w:val="none" w:sz="0" w:space="0" w:color="auto"/>
                        <w:right w:val="none" w:sz="0" w:space="0" w:color="auto"/>
                      </w:divBdr>
                    </w:div>
                    <w:div w:id="203739095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62793710">
          <w:marLeft w:val="0"/>
          <w:marRight w:val="0"/>
          <w:marTop w:val="204"/>
          <w:marBottom w:val="0"/>
          <w:divBdr>
            <w:top w:val="none" w:sz="0" w:space="0" w:color="E1E1E1"/>
            <w:left w:val="none" w:sz="0" w:space="0" w:color="E1E1E1"/>
            <w:bottom w:val="single" w:sz="6" w:space="0" w:color="E1E1E1"/>
            <w:right w:val="none" w:sz="0" w:space="0" w:color="E1E1E1"/>
          </w:divBdr>
          <w:divsChild>
            <w:div w:id="1840272206">
              <w:marLeft w:val="0"/>
              <w:marRight w:val="0"/>
              <w:marTop w:val="0"/>
              <w:marBottom w:val="204"/>
              <w:divBdr>
                <w:top w:val="none" w:sz="0" w:space="0" w:color="auto"/>
                <w:left w:val="none" w:sz="0" w:space="0" w:color="auto"/>
                <w:bottom w:val="none" w:sz="0" w:space="0" w:color="auto"/>
                <w:right w:val="none" w:sz="0" w:space="0" w:color="auto"/>
              </w:divBdr>
              <w:divsChild>
                <w:div w:id="1820728548">
                  <w:marLeft w:val="0"/>
                  <w:marRight w:val="0"/>
                  <w:marTop w:val="0"/>
                  <w:marBottom w:val="0"/>
                  <w:divBdr>
                    <w:top w:val="none" w:sz="0" w:space="0" w:color="auto"/>
                    <w:left w:val="none" w:sz="0" w:space="0" w:color="auto"/>
                    <w:bottom w:val="none" w:sz="0" w:space="0" w:color="auto"/>
                    <w:right w:val="none" w:sz="0" w:space="0" w:color="auto"/>
                  </w:divBdr>
                  <w:divsChild>
                    <w:div w:id="1572305733">
                      <w:marLeft w:val="0"/>
                      <w:marRight w:val="0"/>
                      <w:marTop w:val="0"/>
                      <w:marBottom w:val="0"/>
                      <w:divBdr>
                        <w:top w:val="none" w:sz="0" w:space="0" w:color="auto"/>
                        <w:left w:val="none" w:sz="0" w:space="0" w:color="auto"/>
                        <w:bottom w:val="none" w:sz="0" w:space="0" w:color="auto"/>
                        <w:right w:val="none" w:sz="0" w:space="0" w:color="auto"/>
                      </w:divBdr>
                    </w:div>
                    <w:div w:id="656611091">
                      <w:marLeft w:val="0"/>
                      <w:marRight w:val="0"/>
                      <w:marTop w:val="60"/>
                      <w:marBottom w:val="0"/>
                      <w:divBdr>
                        <w:top w:val="none" w:sz="0" w:space="0" w:color="auto"/>
                        <w:left w:val="none" w:sz="0" w:space="0" w:color="auto"/>
                        <w:bottom w:val="none" w:sz="0" w:space="0" w:color="auto"/>
                        <w:right w:val="none" w:sz="0" w:space="0" w:color="auto"/>
                      </w:divBdr>
                    </w:div>
                    <w:div w:id="12636845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66274580">
          <w:marLeft w:val="0"/>
          <w:marRight w:val="0"/>
          <w:marTop w:val="204"/>
          <w:marBottom w:val="0"/>
          <w:divBdr>
            <w:top w:val="none" w:sz="0" w:space="0" w:color="E1E1E1"/>
            <w:left w:val="none" w:sz="0" w:space="0" w:color="E1E1E1"/>
            <w:bottom w:val="single" w:sz="6" w:space="0" w:color="E1E1E1"/>
            <w:right w:val="none" w:sz="0" w:space="0" w:color="E1E1E1"/>
          </w:divBdr>
          <w:divsChild>
            <w:div w:id="231695291">
              <w:marLeft w:val="0"/>
              <w:marRight w:val="0"/>
              <w:marTop w:val="0"/>
              <w:marBottom w:val="204"/>
              <w:divBdr>
                <w:top w:val="none" w:sz="0" w:space="0" w:color="auto"/>
                <w:left w:val="none" w:sz="0" w:space="0" w:color="auto"/>
                <w:bottom w:val="none" w:sz="0" w:space="0" w:color="auto"/>
                <w:right w:val="none" w:sz="0" w:space="0" w:color="auto"/>
              </w:divBdr>
              <w:divsChild>
                <w:div w:id="712732700">
                  <w:marLeft w:val="0"/>
                  <w:marRight w:val="0"/>
                  <w:marTop w:val="0"/>
                  <w:marBottom w:val="0"/>
                  <w:divBdr>
                    <w:top w:val="none" w:sz="0" w:space="0" w:color="auto"/>
                    <w:left w:val="none" w:sz="0" w:space="0" w:color="auto"/>
                    <w:bottom w:val="none" w:sz="0" w:space="0" w:color="auto"/>
                    <w:right w:val="none" w:sz="0" w:space="0" w:color="auto"/>
                  </w:divBdr>
                  <w:divsChild>
                    <w:div w:id="2032798917">
                      <w:marLeft w:val="0"/>
                      <w:marRight w:val="0"/>
                      <w:marTop w:val="0"/>
                      <w:marBottom w:val="0"/>
                      <w:divBdr>
                        <w:top w:val="none" w:sz="0" w:space="0" w:color="auto"/>
                        <w:left w:val="none" w:sz="0" w:space="0" w:color="auto"/>
                        <w:bottom w:val="none" w:sz="0" w:space="0" w:color="auto"/>
                        <w:right w:val="none" w:sz="0" w:space="0" w:color="auto"/>
                      </w:divBdr>
                    </w:div>
                    <w:div w:id="1878544856">
                      <w:marLeft w:val="0"/>
                      <w:marRight w:val="0"/>
                      <w:marTop w:val="60"/>
                      <w:marBottom w:val="0"/>
                      <w:divBdr>
                        <w:top w:val="none" w:sz="0" w:space="0" w:color="auto"/>
                        <w:left w:val="none" w:sz="0" w:space="0" w:color="auto"/>
                        <w:bottom w:val="none" w:sz="0" w:space="0" w:color="auto"/>
                        <w:right w:val="none" w:sz="0" w:space="0" w:color="auto"/>
                      </w:divBdr>
                    </w:div>
                    <w:div w:id="15846785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8678865">
          <w:marLeft w:val="0"/>
          <w:marRight w:val="0"/>
          <w:marTop w:val="204"/>
          <w:marBottom w:val="0"/>
          <w:divBdr>
            <w:top w:val="none" w:sz="0" w:space="0" w:color="E1E1E1"/>
            <w:left w:val="none" w:sz="0" w:space="0" w:color="E1E1E1"/>
            <w:bottom w:val="single" w:sz="6" w:space="0" w:color="E1E1E1"/>
            <w:right w:val="none" w:sz="0" w:space="0" w:color="E1E1E1"/>
          </w:divBdr>
          <w:divsChild>
            <w:div w:id="2109305483">
              <w:marLeft w:val="0"/>
              <w:marRight w:val="0"/>
              <w:marTop w:val="0"/>
              <w:marBottom w:val="204"/>
              <w:divBdr>
                <w:top w:val="none" w:sz="0" w:space="0" w:color="auto"/>
                <w:left w:val="none" w:sz="0" w:space="0" w:color="auto"/>
                <w:bottom w:val="none" w:sz="0" w:space="0" w:color="auto"/>
                <w:right w:val="none" w:sz="0" w:space="0" w:color="auto"/>
              </w:divBdr>
              <w:divsChild>
                <w:div w:id="1308437610">
                  <w:marLeft w:val="0"/>
                  <w:marRight w:val="0"/>
                  <w:marTop w:val="0"/>
                  <w:marBottom w:val="0"/>
                  <w:divBdr>
                    <w:top w:val="none" w:sz="0" w:space="0" w:color="auto"/>
                    <w:left w:val="none" w:sz="0" w:space="0" w:color="auto"/>
                    <w:bottom w:val="none" w:sz="0" w:space="0" w:color="auto"/>
                    <w:right w:val="none" w:sz="0" w:space="0" w:color="auto"/>
                  </w:divBdr>
                  <w:divsChild>
                    <w:div w:id="1951861346">
                      <w:marLeft w:val="0"/>
                      <w:marRight w:val="0"/>
                      <w:marTop w:val="0"/>
                      <w:marBottom w:val="0"/>
                      <w:divBdr>
                        <w:top w:val="none" w:sz="0" w:space="0" w:color="auto"/>
                        <w:left w:val="none" w:sz="0" w:space="0" w:color="auto"/>
                        <w:bottom w:val="none" w:sz="0" w:space="0" w:color="auto"/>
                        <w:right w:val="none" w:sz="0" w:space="0" w:color="auto"/>
                      </w:divBdr>
                    </w:div>
                    <w:div w:id="1520923493">
                      <w:marLeft w:val="0"/>
                      <w:marRight w:val="0"/>
                      <w:marTop w:val="60"/>
                      <w:marBottom w:val="0"/>
                      <w:divBdr>
                        <w:top w:val="none" w:sz="0" w:space="0" w:color="auto"/>
                        <w:left w:val="none" w:sz="0" w:space="0" w:color="auto"/>
                        <w:bottom w:val="none" w:sz="0" w:space="0" w:color="auto"/>
                        <w:right w:val="none" w:sz="0" w:space="0" w:color="auto"/>
                      </w:divBdr>
                    </w:div>
                    <w:div w:id="12728429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9088585">
          <w:marLeft w:val="0"/>
          <w:marRight w:val="0"/>
          <w:marTop w:val="204"/>
          <w:marBottom w:val="0"/>
          <w:divBdr>
            <w:top w:val="none" w:sz="0" w:space="0" w:color="E1E1E1"/>
            <w:left w:val="none" w:sz="0" w:space="0" w:color="E1E1E1"/>
            <w:bottom w:val="single" w:sz="6" w:space="0" w:color="E1E1E1"/>
            <w:right w:val="none" w:sz="0" w:space="0" w:color="E1E1E1"/>
          </w:divBdr>
          <w:divsChild>
            <w:div w:id="1367561255">
              <w:marLeft w:val="0"/>
              <w:marRight w:val="0"/>
              <w:marTop w:val="0"/>
              <w:marBottom w:val="204"/>
              <w:divBdr>
                <w:top w:val="none" w:sz="0" w:space="0" w:color="auto"/>
                <w:left w:val="none" w:sz="0" w:space="0" w:color="auto"/>
                <w:bottom w:val="none" w:sz="0" w:space="0" w:color="auto"/>
                <w:right w:val="none" w:sz="0" w:space="0" w:color="auto"/>
              </w:divBdr>
              <w:divsChild>
                <w:div w:id="341510307">
                  <w:marLeft w:val="0"/>
                  <w:marRight w:val="0"/>
                  <w:marTop w:val="0"/>
                  <w:marBottom w:val="0"/>
                  <w:divBdr>
                    <w:top w:val="none" w:sz="0" w:space="0" w:color="auto"/>
                    <w:left w:val="none" w:sz="0" w:space="0" w:color="auto"/>
                    <w:bottom w:val="none" w:sz="0" w:space="0" w:color="auto"/>
                    <w:right w:val="none" w:sz="0" w:space="0" w:color="auto"/>
                  </w:divBdr>
                  <w:divsChild>
                    <w:div w:id="1523590228">
                      <w:marLeft w:val="0"/>
                      <w:marRight w:val="0"/>
                      <w:marTop w:val="0"/>
                      <w:marBottom w:val="0"/>
                      <w:divBdr>
                        <w:top w:val="none" w:sz="0" w:space="0" w:color="auto"/>
                        <w:left w:val="none" w:sz="0" w:space="0" w:color="auto"/>
                        <w:bottom w:val="none" w:sz="0" w:space="0" w:color="auto"/>
                        <w:right w:val="none" w:sz="0" w:space="0" w:color="auto"/>
                      </w:divBdr>
                    </w:div>
                    <w:div w:id="786585157">
                      <w:marLeft w:val="0"/>
                      <w:marRight w:val="0"/>
                      <w:marTop w:val="60"/>
                      <w:marBottom w:val="0"/>
                      <w:divBdr>
                        <w:top w:val="none" w:sz="0" w:space="0" w:color="auto"/>
                        <w:left w:val="none" w:sz="0" w:space="0" w:color="auto"/>
                        <w:bottom w:val="none" w:sz="0" w:space="0" w:color="auto"/>
                        <w:right w:val="none" w:sz="0" w:space="0" w:color="auto"/>
                      </w:divBdr>
                    </w:div>
                    <w:div w:id="1021393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17782115">
          <w:marLeft w:val="0"/>
          <w:marRight w:val="0"/>
          <w:marTop w:val="204"/>
          <w:marBottom w:val="0"/>
          <w:divBdr>
            <w:top w:val="none" w:sz="0" w:space="0" w:color="E1E1E1"/>
            <w:left w:val="none" w:sz="0" w:space="0" w:color="E1E1E1"/>
            <w:bottom w:val="single" w:sz="6" w:space="0" w:color="E1E1E1"/>
            <w:right w:val="none" w:sz="0" w:space="0" w:color="E1E1E1"/>
          </w:divBdr>
          <w:divsChild>
            <w:div w:id="1606960676">
              <w:marLeft w:val="0"/>
              <w:marRight w:val="0"/>
              <w:marTop w:val="0"/>
              <w:marBottom w:val="204"/>
              <w:divBdr>
                <w:top w:val="none" w:sz="0" w:space="0" w:color="auto"/>
                <w:left w:val="none" w:sz="0" w:space="0" w:color="auto"/>
                <w:bottom w:val="none" w:sz="0" w:space="0" w:color="auto"/>
                <w:right w:val="none" w:sz="0" w:space="0" w:color="auto"/>
              </w:divBdr>
              <w:divsChild>
                <w:div w:id="1161849889">
                  <w:marLeft w:val="0"/>
                  <w:marRight w:val="0"/>
                  <w:marTop w:val="0"/>
                  <w:marBottom w:val="0"/>
                  <w:divBdr>
                    <w:top w:val="none" w:sz="0" w:space="0" w:color="auto"/>
                    <w:left w:val="none" w:sz="0" w:space="0" w:color="auto"/>
                    <w:bottom w:val="none" w:sz="0" w:space="0" w:color="auto"/>
                    <w:right w:val="none" w:sz="0" w:space="0" w:color="auto"/>
                  </w:divBdr>
                  <w:divsChild>
                    <w:div w:id="1433625982">
                      <w:marLeft w:val="0"/>
                      <w:marRight w:val="0"/>
                      <w:marTop w:val="0"/>
                      <w:marBottom w:val="0"/>
                      <w:divBdr>
                        <w:top w:val="none" w:sz="0" w:space="0" w:color="auto"/>
                        <w:left w:val="none" w:sz="0" w:space="0" w:color="auto"/>
                        <w:bottom w:val="none" w:sz="0" w:space="0" w:color="auto"/>
                        <w:right w:val="none" w:sz="0" w:space="0" w:color="auto"/>
                      </w:divBdr>
                    </w:div>
                    <w:div w:id="1248881102">
                      <w:marLeft w:val="0"/>
                      <w:marRight w:val="0"/>
                      <w:marTop w:val="60"/>
                      <w:marBottom w:val="0"/>
                      <w:divBdr>
                        <w:top w:val="none" w:sz="0" w:space="0" w:color="auto"/>
                        <w:left w:val="none" w:sz="0" w:space="0" w:color="auto"/>
                        <w:bottom w:val="none" w:sz="0" w:space="0" w:color="auto"/>
                        <w:right w:val="none" w:sz="0" w:space="0" w:color="auto"/>
                      </w:divBdr>
                    </w:div>
                    <w:div w:id="6465880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480518">
          <w:marLeft w:val="0"/>
          <w:marRight w:val="0"/>
          <w:marTop w:val="204"/>
          <w:marBottom w:val="0"/>
          <w:divBdr>
            <w:top w:val="none" w:sz="0" w:space="0" w:color="E1E1E1"/>
            <w:left w:val="none" w:sz="0" w:space="0" w:color="E1E1E1"/>
            <w:bottom w:val="single" w:sz="6" w:space="0" w:color="E1E1E1"/>
            <w:right w:val="none" w:sz="0" w:space="0" w:color="E1E1E1"/>
          </w:divBdr>
          <w:divsChild>
            <w:div w:id="953098542">
              <w:marLeft w:val="0"/>
              <w:marRight w:val="0"/>
              <w:marTop w:val="0"/>
              <w:marBottom w:val="204"/>
              <w:divBdr>
                <w:top w:val="none" w:sz="0" w:space="0" w:color="auto"/>
                <w:left w:val="none" w:sz="0" w:space="0" w:color="auto"/>
                <w:bottom w:val="none" w:sz="0" w:space="0" w:color="auto"/>
                <w:right w:val="none" w:sz="0" w:space="0" w:color="auto"/>
              </w:divBdr>
              <w:divsChild>
                <w:div w:id="1062673485">
                  <w:marLeft w:val="0"/>
                  <w:marRight w:val="0"/>
                  <w:marTop w:val="0"/>
                  <w:marBottom w:val="0"/>
                  <w:divBdr>
                    <w:top w:val="none" w:sz="0" w:space="0" w:color="auto"/>
                    <w:left w:val="none" w:sz="0" w:space="0" w:color="auto"/>
                    <w:bottom w:val="none" w:sz="0" w:space="0" w:color="auto"/>
                    <w:right w:val="none" w:sz="0" w:space="0" w:color="auto"/>
                  </w:divBdr>
                  <w:divsChild>
                    <w:div w:id="1438480243">
                      <w:marLeft w:val="0"/>
                      <w:marRight w:val="0"/>
                      <w:marTop w:val="0"/>
                      <w:marBottom w:val="0"/>
                      <w:divBdr>
                        <w:top w:val="none" w:sz="0" w:space="0" w:color="auto"/>
                        <w:left w:val="none" w:sz="0" w:space="0" w:color="auto"/>
                        <w:bottom w:val="none" w:sz="0" w:space="0" w:color="auto"/>
                        <w:right w:val="none" w:sz="0" w:space="0" w:color="auto"/>
                      </w:divBdr>
                    </w:div>
                    <w:div w:id="711030945">
                      <w:marLeft w:val="0"/>
                      <w:marRight w:val="0"/>
                      <w:marTop w:val="60"/>
                      <w:marBottom w:val="0"/>
                      <w:divBdr>
                        <w:top w:val="none" w:sz="0" w:space="0" w:color="auto"/>
                        <w:left w:val="none" w:sz="0" w:space="0" w:color="auto"/>
                        <w:bottom w:val="none" w:sz="0" w:space="0" w:color="auto"/>
                        <w:right w:val="none" w:sz="0" w:space="0" w:color="auto"/>
                      </w:divBdr>
                    </w:div>
                    <w:div w:id="16637013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58972182">
          <w:marLeft w:val="0"/>
          <w:marRight w:val="0"/>
          <w:marTop w:val="204"/>
          <w:marBottom w:val="0"/>
          <w:divBdr>
            <w:top w:val="none" w:sz="0" w:space="0" w:color="E1E1E1"/>
            <w:left w:val="none" w:sz="0" w:space="0" w:color="E1E1E1"/>
            <w:bottom w:val="single" w:sz="6" w:space="0" w:color="E1E1E1"/>
            <w:right w:val="none" w:sz="0" w:space="0" w:color="E1E1E1"/>
          </w:divBdr>
          <w:divsChild>
            <w:div w:id="491989474">
              <w:marLeft w:val="0"/>
              <w:marRight w:val="0"/>
              <w:marTop w:val="0"/>
              <w:marBottom w:val="204"/>
              <w:divBdr>
                <w:top w:val="none" w:sz="0" w:space="0" w:color="auto"/>
                <w:left w:val="none" w:sz="0" w:space="0" w:color="auto"/>
                <w:bottom w:val="none" w:sz="0" w:space="0" w:color="auto"/>
                <w:right w:val="none" w:sz="0" w:space="0" w:color="auto"/>
              </w:divBdr>
              <w:divsChild>
                <w:div w:id="610938614">
                  <w:marLeft w:val="0"/>
                  <w:marRight w:val="0"/>
                  <w:marTop w:val="0"/>
                  <w:marBottom w:val="0"/>
                  <w:divBdr>
                    <w:top w:val="none" w:sz="0" w:space="0" w:color="auto"/>
                    <w:left w:val="none" w:sz="0" w:space="0" w:color="auto"/>
                    <w:bottom w:val="none" w:sz="0" w:space="0" w:color="auto"/>
                    <w:right w:val="none" w:sz="0" w:space="0" w:color="auto"/>
                  </w:divBdr>
                  <w:divsChild>
                    <w:div w:id="785656529">
                      <w:marLeft w:val="0"/>
                      <w:marRight w:val="0"/>
                      <w:marTop w:val="0"/>
                      <w:marBottom w:val="0"/>
                      <w:divBdr>
                        <w:top w:val="none" w:sz="0" w:space="0" w:color="auto"/>
                        <w:left w:val="none" w:sz="0" w:space="0" w:color="auto"/>
                        <w:bottom w:val="none" w:sz="0" w:space="0" w:color="auto"/>
                        <w:right w:val="none" w:sz="0" w:space="0" w:color="auto"/>
                      </w:divBdr>
                    </w:div>
                    <w:div w:id="820074370">
                      <w:marLeft w:val="0"/>
                      <w:marRight w:val="0"/>
                      <w:marTop w:val="60"/>
                      <w:marBottom w:val="0"/>
                      <w:divBdr>
                        <w:top w:val="none" w:sz="0" w:space="0" w:color="auto"/>
                        <w:left w:val="none" w:sz="0" w:space="0" w:color="auto"/>
                        <w:bottom w:val="none" w:sz="0" w:space="0" w:color="auto"/>
                        <w:right w:val="none" w:sz="0" w:space="0" w:color="auto"/>
                      </w:divBdr>
                    </w:div>
                    <w:div w:id="9850102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68421162">
          <w:marLeft w:val="0"/>
          <w:marRight w:val="0"/>
          <w:marTop w:val="204"/>
          <w:marBottom w:val="0"/>
          <w:divBdr>
            <w:top w:val="none" w:sz="0" w:space="0" w:color="E1E1E1"/>
            <w:left w:val="none" w:sz="0" w:space="0" w:color="E1E1E1"/>
            <w:bottom w:val="single" w:sz="6" w:space="0" w:color="E1E1E1"/>
            <w:right w:val="none" w:sz="0" w:space="0" w:color="E1E1E1"/>
          </w:divBdr>
          <w:divsChild>
            <w:div w:id="541751841">
              <w:marLeft w:val="0"/>
              <w:marRight w:val="0"/>
              <w:marTop w:val="0"/>
              <w:marBottom w:val="204"/>
              <w:divBdr>
                <w:top w:val="none" w:sz="0" w:space="0" w:color="auto"/>
                <w:left w:val="none" w:sz="0" w:space="0" w:color="auto"/>
                <w:bottom w:val="none" w:sz="0" w:space="0" w:color="auto"/>
                <w:right w:val="none" w:sz="0" w:space="0" w:color="auto"/>
              </w:divBdr>
              <w:divsChild>
                <w:div w:id="1567498283">
                  <w:marLeft w:val="0"/>
                  <w:marRight w:val="0"/>
                  <w:marTop w:val="0"/>
                  <w:marBottom w:val="0"/>
                  <w:divBdr>
                    <w:top w:val="none" w:sz="0" w:space="0" w:color="auto"/>
                    <w:left w:val="none" w:sz="0" w:space="0" w:color="auto"/>
                    <w:bottom w:val="none" w:sz="0" w:space="0" w:color="auto"/>
                    <w:right w:val="none" w:sz="0" w:space="0" w:color="auto"/>
                  </w:divBdr>
                  <w:divsChild>
                    <w:div w:id="1838107695">
                      <w:marLeft w:val="0"/>
                      <w:marRight w:val="0"/>
                      <w:marTop w:val="0"/>
                      <w:marBottom w:val="0"/>
                      <w:divBdr>
                        <w:top w:val="none" w:sz="0" w:space="0" w:color="auto"/>
                        <w:left w:val="none" w:sz="0" w:space="0" w:color="auto"/>
                        <w:bottom w:val="none" w:sz="0" w:space="0" w:color="auto"/>
                        <w:right w:val="none" w:sz="0" w:space="0" w:color="auto"/>
                      </w:divBdr>
                    </w:div>
                    <w:div w:id="1130391908">
                      <w:marLeft w:val="0"/>
                      <w:marRight w:val="0"/>
                      <w:marTop w:val="60"/>
                      <w:marBottom w:val="0"/>
                      <w:divBdr>
                        <w:top w:val="none" w:sz="0" w:space="0" w:color="auto"/>
                        <w:left w:val="none" w:sz="0" w:space="0" w:color="auto"/>
                        <w:bottom w:val="none" w:sz="0" w:space="0" w:color="auto"/>
                        <w:right w:val="none" w:sz="0" w:space="0" w:color="auto"/>
                      </w:divBdr>
                    </w:div>
                    <w:div w:id="931662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22991484">
          <w:marLeft w:val="0"/>
          <w:marRight w:val="0"/>
          <w:marTop w:val="204"/>
          <w:marBottom w:val="0"/>
          <w:divBdr>
            <w:top w:val="none" w:sz="0" w:space="0" w:color="E1E1E1"/>
            <w:left w:val="none" w:sz="0" w:space="0" w:color="E1E1E1"/>
            <w:bottom w:val="single" w:sz="6" w:space="0" w:color="E1E1E1"/>
            <w:right w:val="none" w:sz="0" w:space="0" w:color="E1E1E1"/>
          </w:divBdr>
          <w:divsChild>
            <w:div w:id="233855598">
              <w:marLeft w:val="0"/>
              <w:marRight w:val="0"/>
              <w:marTop w:val="0"/>
              <w:marBottom w:val="204"/>
              <w:divBdr>
                <w:top w:val="none" w:sz="0" w:space="0" w:color="auto"/>
                <w:left w:val="none" w:sz="0" w:space="0" w:color="auto"/>
                <w:bottom w:val="none" w:sz="0" w:space="0" w:color="auto"/>
                <w:right w:val="none" w:sz="0" w:space="0" w:color="auto"/>
              </w:divBdr>
              <w:divsChild>
                <w:div w:id="646323926">
                  <w:marLeft w:val="0"/>
                  <w:marRight w:val="0"/>
                  <w:marTop w:val="0"/>
                  <w:marBottom w:val="0"/>
                  <w:divBdr>
                    <w:top w:val="none" w:sz="0" w:space="0" w:color="auto"/>
                    <w:left w:val="none" w:sz="0" w:space="0" w:color="auto"/>
                    <w:bottom w:val="none" w:sz="0" w:space="0" w:color="auto"/>
                    <w:right w:val="none" w:sz="0" w:space="0" w:color="auto"/>
                  </w:divBdr>
                  <w:divsChild>
                    <w:div w:id="889078725">
                      <w:marLeft w:val="0"/>
                      <w:marRight w:val="0"/>
                      <w:marTop w:val="0"/>
                      <w:marBottom w:val="0"/>
                      <w:divBdr>
                        <w:top w:val="none" w:sz="0" w:space="0" w:color="auto"/>
                        <w:left w:val="none" w:sz="0" w:space="0" w:color="auto"/>
                        <w:bottom w:val="none" w:sz="0" w:space="0" w:color="auto"/>
                        <w:right w:val="none" w:sz="0" w:space="0" w:color="auto"/>
                      </w:divBdr>
                    </w:div>
                    <w:div w:id="1824470349">
                      <w:marLeft w:val="0"/>
                      <w:marRight w:val="0"/>
                      <w:marTop w:val="60"/>
                      <w:marBottom w:val="0"/>
                      <w:divBdr>
                        <w:top w:val="none" w:sz="0" w:space="0" w:color="auto"/>
                        <w:left w:val="none" w:sz="0" w:space="0" w:color="auto"/>
                        <w:bottom w:val="none" w:sz="0" w:space="0" w:color="auto"/>
                        <w:right w:val="none" w:sz="0" w:space="0" w:color="auto"/>
                      </w:divBdr>
                    </w:div>
                    <w:div w:id="145714179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25377372">
          <w:marLeft w:val="0"/>
          <w:marRight w:val="0"/>
          <w:marTop w:val="204"/>
          <w:marBottom w:val="0"/>
          <w:divBdr>
            <w:top w:val="none" w:sz="0" w:space="0" w:color="E1E1E1"/>
            <w:left w:val="none" w:sz="0" w:space="0" w:color="E1E1E1"/>
            <w:bottom w:val="single" w:sz="6" w:space="0" w:color="E1E1E1"/>
            <w:right w:val="none" w:sz="0" w:space="0" w:color="E1E1E1"/>
          </w:divBdr>
          <w:divsChild>
            <w:div w:id="476530247">
              <w:marLeft w:val="0"/>
              <w:marRight w:val="0"/>
              <w:marTop w:val="0"/>
              <w:marBottom w:val="204"/>
              <w:divBdr>
                <w:top w:val="none" w:sz="0" w:space="0" w:color="auto"/>
                <w:left w:val="none" w:sz="0" w:space="0" w:color="auto"/>
                <w:bottom w:val="none" w:sz="0" w:space="0" w:color="auto"/>
                <w:right w:val="none" w:sz="0" w:space="0" w:color="auto"/>
              </w:divBdr>
              <w:divsChild>
                <w:div w:id="141771401">
                  <w:marLeft w:val="0"/>
                  <w:marRight w:val="0"/>
                  <w:marTop w:val="0"/>
                  <w:marBottom w:val="0"/>
                  <w:divBdr>
                    <w:top w:val="none" w:sz="0" w:space="0" w:color="auto"/>
                    <w:left w:val="none" w:sz="0" w:space="0" w:color="auto"/>
                    <w:bottom w:val="none" w:sz="0" w:space="0" w:color="auto"/>
                    <w:right w:val="none" w:sz="0" w:space="0" w:color="auto"/>
                  </w:divBdr>
                  <w:divsChild>
                    <w:div w:id="710228094">
                      <w:marLeft w:val="0"/>
                      <w:marRight w:val="0"/>
                      <w:marTop w:val="0"/>
                      <w:marBottom w:val="0"/>
                      <w:divBdr>
                        <w:top w:val="none" w:sz="0" w:space="0" w:color="auto"/>
                        <w:left w:val="none" w:sz="0" w:space="0" w:color="auto"/>
                        <w:bottom w:val="none" w:sz="0" w:space="0" w:color="auto"/>
                        <w:right w:val="none" w:sz="0" w:space="0" w:color="auto"/>
                      </w:divBdr>
                    </w:div>
                    <w:div w:id="1517504762">
                      <w:marLeft w:val="0"/>
                      <w:marRight w:val="0"/>
                      <w:marTop w:val="60"/>
                      <w:marBottom w:val="0"/>
                      <w:divBdr>
                        <w:top w:val="none" w:sz="0" w:space="0" w:color="auto"/>
                        <w:left w:val="none" w:sz="0" w:space="0" w:color="auto"/>
                        <w:bottom w:val="none" w:sz="0" w:space="0" w:color="auto"/>
                        <w:right w:val="none" w:sz="0" w:space="0" w:color="auto"/>
                      </w:divBdr>
                    </w:div>
                    <w:div w:id="12402110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8060049">
          <w:marLeft w:val="0"/>
          <w:marRight w:val="0"/>
          <w:marTop w:val="204"/>
          <w:marBottom w:val="0"/>
          <w:divBdr>
            <w:top w:val="none" w:sz="0" w:space="0" w:color="E1E1E1"/>
            <w:left w:val="none" w:sz="0" w:space="0" w:color="E1E1E1"/>
            <w:bottom w:val="single" w:sz="6" w:space="0" w:color="E1E1E1"/>
            <w:right w:val="none" w:sz="0" w:space="0" w:color="E1E1E1"/>
          </w:divBdr>
          <w:divsChild>
            <w:div w:id="1449466472">
              <w:marLeft w:val="0"/>
              <w:marRight w:val="0"/>
              <w:marTop w:val="0"/>
              <w:marBottom w:val="204"/>
              <w:divBdr>
                <w:top w:val="none" w:sz="0" w:space="0" w:color="auto"/>
                <w:left w:val="none" w:sz="0" w:space="0" w:color="auto"/>
                <w:bottom w:val="none" w:sz="0" w:space="0" w:color="auto"/>
                <w:right w:val="none" w:sz="0" w:space="0" w:color="auto"/>
              </w:divBdr>
              <w:divsChild>
                <w:div w:id="1317950078">
                  <w:marLeft w:val="0"/>
                  <w:marRight w:val="0"/>
                  <w:marTop w:val="0"/>
                  <w:marBottom w:val="0"/>
                  <w:divBdr>
                    <w:top w:val="none" w:sz="0" w:space="0" w:color="auto"/>
                    <w:left w:val="none" w:sz="0" w:space="0" w:color="auto"/>
                    <w:bottom w:val="none" w:sz="0" w:space="0" w:color="auto"/>
                    <w:right w:val="none" w:sz="0" w:space="0" w:color="auto"/>
                  </w:divBdr>
                  <w:divsChild>
                    <w:div w:id="548881433">
                      <w:marLeft w:val="0"/>
                      <w:marRight w:val="0"/>
                      <w:marTop w:val="0"/>
                      <w:marBottom w:val="0"/>
                      <w:divBdr>
                        <w:top w:val="none" w:sz="0" w:space="0" w:color="auto"/>
                        <w:left w:val="none" w:sz="0" w:space="0" w:color="auto"/>
                        <w:bottom w:val="none" w:sz="0" w:space="0" w:color="auto"/>
                        <w:right w:val="none" w:sz="0" w:space="0" w:color="auto"/>
                      </w:divBdr>
                    </w:div>
                    <w:div w:id="266542895">
                      <w:marLeft w:val="0"/>
                      <w:marRight w:val="0"/>
                      <w:marTop w:val="60"/>
                      <w:marBottom w:val="0"/>
                      <w:divBdr>
                        <w:top w:val="none" w:sz="0" w:space="0" w:color="auto"/>
                        <w:left w:val="none" w:sz="0" w:space="0" w:color="auto"/>
                        <w:bottom w:val="none" w:sz="0" w:space="0" w:color="auto"/>
                        <w:right w:val="none" w:sz="0" w:space="0" w:color="auto"/>
                      </w:divBdr>
                    </w:div>
                    <w:div w:id="15680337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26916657">
          <w:marLeft w:val="0"/>
          <w:marRight w:val="0"/>
          <w:marTop w:val="204"/>
          <w:marBottom w:val="0"/>
          <w:divBdr>
            <w:top w:val="none" w:sz="0" w:space="0" w:color="E1E1E1"/>
            <w:left w:val="none" w:sz="0" w:space="0" w:color="E1E1E1"/>
            <w:bottom w:val="single" w:sz="6" w:space="0" w:color="E1E1E1"/>
            <w:right w:val="none" w:sz="0" w:space="0" w:color="E1E1E1"/>
          </w:divBdr>
          <w:divsChild>
            <w:div w:id="218632173">
              <w:marLeft w:val="0"/>
              <w:marRight w:val="0"/>
              <w:marTop w:val="0"/>
              <w:marBottom w:val="204"/>
              <w:divBdr>
                <w:top w:val="none" w:sz="0" w:space="0" w:color="auto"/>
                <w:left w:val="none" w:sz="0" w:space="0" w:color="auto"/>
                <w:bottom w:val="none" w:sz="0" w:space="0" w:color="auto"/>
                <w:right w:val="none" w:sz="0" w:space="0" w:color="auto"/>
              </w:divBdr>
              <w:divsChild>
                <w:div w:id="1456560204">
                  <w:marLeft w:val="0"/>
                  <w:marRight w:val="0"/>
                  <w:marTop w:val="0"/>
                  <w:marBottom w:val="0"/>
                  <w:divBdr>
                    <w:top w:val="none" w:sz="0" w:space="0" w:color="auto"/>
                    <w:left w:val="none" w:sz="0" w:space="0" w:color="auto"/>
                    <w:bottom w:val="none" w:sz="0" w:space="0" w:color="auto"/>
                    <w:right w:val="none" w:sz="0" w:space="0" w:color="auto"/>
                  </w:divBdr>
                  <w:divsChild>
                    <w:div w:id="2014214106">
                      <w:marLeft w:val="0"/>
                      <w:marRight w:val="0"/>
                      <w:marTop w:val="0"/>
                      <w:marBottom w:val="0"/>
                      <w:divBdr>
                        <w:top w:val="none" w:sz="0" w:space="0" w:color="auto"/>
                        <w:left w:val="none" w:sz="0" w:space="0" w:color="auto"/>
                        <w:bottom w:val="none" w:sz="0" w:space="0" w:color="auto"/>
                        <w:right w:val="none" w:sz="0" w:space="0" w:color="auto"/>
                      </w:divBdr>
                    </w:div>
                    <w:div w:id="45031247">
                      <w:marLeft w:val="0"/>
                      <w:marRight w:val="0"/>
                      <w:marTop w:val="60"/>
                      <w:marBottom w:val="0"/>
                      <w:divBdr>
                        <w:top w:val="none" w:sz="0" w:space="0" w:color="auto"/>
                        <w:left w:val="none" w:sz="0" w:space="0" w:color="auto"/>
                        <w:bottom w:val="none" w:sz="0" w:space="0" w:color="auto"/>
                        <w:right w:val="none" w:sz="0" w:space="0" w:color="auto"/>
                      </w:divBdr>
                    </w:div>
                    <w:div w:id="6895293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13127042">
          <w:marLeft w:val="0"/>
          <w:marRight w:val="0"/>
          <w:marTop w:val="204"/>
          <w:marBottom w:val="0"/>
          <w:divBdr>
            <w:top w:val="none" w:sz="0" w:space="0" w:color="E1E1E1"/>
            <w:left w:val="none" w:sz="0" w:space="0" w:color="E1E1E1"/>
            <w:bottom w:val="single" w:sz="6" w:space="0" w:color="E1E1E1"/>
            <w:right w:val="none" w:sz="0" w:space="0" w:color="E1E1E1"/>
          </w:divBdr>
          <w:divsChild>
            <w:div w:id="152139642">
              <w:marLeft w:val="0"/>
              <w:marRight w:val="0"/>
              <w:marTop w:val="0"/>
              <w:marBottom w:val="204"/>
              <w:divBdr>
                <w:top w:val="none" w:sz="0" w:space="0" w:color="auto"/>
                <w:left w:val="none" w:sz="0" w:space="0" w:color="auto"/>
                <w:bottom w:val="none" w:sz="0" w:space="0" w:color="auto"/>
                <w:right w:val="none" w:sz="0" w:space="0" w:color="auto"/>
              </w:divBdr>
              <w:divsChild>
                <w:div w:id="885065682">
                  <w:marLeft w:val="0"/>
                  <w:marRight w:val="0"/>
                  <w:marTop w:val="0"/>
                  <w:marBottom w:val="0"/>
                  <w:divBdr>
                    <w:top w:val="none" w:sz="0" w:space="0" w:color="auto"/>
                    <w:left w:val="none" w:sz="0" w:space="0" w:color="auto"/>
                    <w:bottom w:val="none" w:sz="0" w:space="0" w:color="auto"/>
                    <w:right w:val="none" w:sz="0" w:space="0" w:color="auto"/>
                  </w:divBdr>
                  <w:divsChild>
                    <w:div w:id="2076463131">
                      <w:marLeft w:val="0"/>
                      <w:marRight w:val="0"/>
                      <w:marTop w:val="0"/>
                      <w:marBottom w:val="0"/>
                      <w:divBdr>
                        <w:top w:val="none" w:sz="0" w:space="0" w:color="auto"/>
                        <w:left w:val="none" w:sz="0" w:space="0" w:color="auto"/>
                        <w:bottom w:val="none" w:sz="0" w:space="0" w:color="auto"/>
                        <w:right w:val="none" w:sz="0" w:space="0" w:color="auto"/>
                      </w:divBdr>
                    </w:div>
                    <w:div w:id="825898394">
                      <w:marLeft w:val="0"/>
                      <w:marRight w:val="0"/>
                      <w:marTop w:val="60"/>
                      <w:marBottom w:val="0"/>
                      <w:divBdr>
                        <w:top w:val="none" w:sz="0" w:space="0" w:color="auto"/>
                        <w:left w:val="none" w:sz="0" w:space="0" w:color="auto"/>
                        <w:bottom w:val="none" w:sz="0" w:space="0" w:color="auto"/>
                        <w:right w:val="none" w:sz="0" w:space="0" w:color="auto"/>
                      </w:divBdr>
                    </w:div>
                    <w:div w:id="16966871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9864387">
          <w:marLeft w:val="0"/>
          <w:marRight w:val="0"/>
          <w:marTop w:val="204"/>
          <w:marBottom w:val="0"/>
          <w:divBdr>
            <w:top w:val="none" w:sz="0" w:space="0" w:color="E1E1E1"/>
            <w:left w:val="none" w:sz="0" w:space="0" w:color="E1E1E1"/>
            <w:bottom w:val="single" w:sz="6" w:space="0" w:color="E1E1E1"/>
            <w:right w:val="none" w:sz="0" w:space="0" w:color="E1E1E1"/>
          </w:divBdr>
          <w:divsChild>
            <w:div w:id="1566723584">
              <w:marLeft w:val="0"/>
              <w:marRight w:val="0"/>
              <w:marTop w:val="0"/>
              <w:marBottom w:val="204"/>
              <w:divBdr>
                <w:top w:val="none" w:sz="0" w:space="0" w:color="auto"/>
                <w:left w:val="none" w:sz="0" w:space="0" w:color="auto"/>
                <w:bottom w:val="none" w:sz="0" w:space="0" w:color="auto"/>
                <w:right w:val="none" w:sz="0" w:space="0" w:color="auto"/>
              </w:divBdr>
              <w:divsChild>
                <w:div w:id="16928833">
                  <w:marLeft w:val="0"/>
                  <w:marRight w:val="0"/>
                  <w:marTop w:val="0"/>
                  <w:marBottom w:val="0"/>
                  <w:divBdr>
                    <w:top w:val="none" w:sz="0" w:space="0" w:color="auto"/>
                    <w:left w:val="none" w:sz="0" w:space="0" w:color="auto"/>
                    <w:bottom w:val="none" w:sz="0" w:space="0" w:color="auto"/>
                    <w:right w:val="none" w:sz="0" w:space="0" w:color="auto"/>
                  </w:divBdr>
                  <w:divsChild>
                    <w:div w:id="645822455">
                      <w:marLeft w:val="0"/>
                      <w:marRight w:val="0"/>
                      <w:marTop w:val="0"/>
                      <w:marBottom w:val="0"/>
                      <w:divBdr>
                        <w:top w:val="none" w:sz="0" w:space="0" w:color="auto"/>
                        <w:left w:val="none" w:sz="0" w:space="0" w:color="auto"/>
                        <w:bottom w:val="none" w:sz="0" w:space="0" w:color="auto"/>
                        <w:right w:val="none" w:sz="0" w:space="0" w:color="auto"/>
                      </w:divBdr>
                    </w:div>
                    <w:div w:id="1663507864">
                      <w:marLeft w:val="0"/>
                      <w:marRight w:val="0"/>
                      <w:marTop w:val="60"/>
                      <w:marBottom w:val="0"/>
                      <w:divBdr>
                        <w:top w:val="none" w:sz="0" w:space="0" w:color="auto"/>
                        <w:left w:val="none" w:sz="0" w:space="0" w:color="auto"/>
                        <w:bottom w:val="none" w:sz="0" w:space="0" w:color="auto"/>
                        <w:right w:val="none" w:sz="0" w:space="0" w:color="auto"/>
                      </w:divBdr>
                    </w:div>
                    <w:div w:id="180840152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33812158">
          <w:marLeft w:val="0"/>
          <w:marRight w:val="0"/>
          <w:marTop w:val="204"/>
          <w:marBottom w:val="0"/>
          <w:divBdr>
            <w:top w:val="none" w:sz="0" w:space="0" w:color="E1E1E1"/>
            <w:left w:val="none" w:sz="0" w:space="0" w:color="E1E1E1"/>
            <w:bottom w:val="single" w:sz="6" w:space="0" w:color="E1E1E1"/>
            <w:right w:val="none" w:sz="0" w:space="0" w:color="E1E1E1"/>
          </w:divBdr>
          <w:divsChild>
            <w:div w:id="1135099914">
              <w:marLeft w:val="0"/>
              <w:marRight w:val="0"/>
              <w:marTop w:val="0"/>
              <w:marBottom w:val="204"/>
              <w:divBdr>
                <w:top w:val="none" w:sz="0" w:space="0" w:color="auto"/>
                <w:left w:val="none" w:sz="0" w:space="0" w:color="auto"/>
                <w:bottom w:val="none" w:sz="0" w:space="0" w:color="auto"/>
                <w:right w:val="none" w:sz="0" w:space="0" w:color="auto"/>
              </w:divBdr>
              <w:divsChild>
                <w:div w:id="1512719079">
                  <w:marLeft w:val="0"/>
                  <w:marRight w:val="0"/>
                  <w:marTop w:val="0"/>
                  <w:marBottom w:val="0"/>
                  <w:divBdr>
                    <w:top w:val="none" w:sz="0" w:space="0" w:color="auto"/>
                    <w:left w:val="none" w:sz="0" w:space="0" w:color="auto"/>
                    <w:bottom w:val="none" w:sz="0" w:space="0" w:color="auto"/>
                    <w:right w:val="none" w:sz="0" w:space="0" w:color="auto"/>
                  </w:divBdr>
                  <w:divsChild>
                    <w:div w:id="1808276044">
                      <w:marLeft w:val="0"/>
                      <w:marRight w:val="0"/>
                      <w:marTop w:val="0"/>
                      <w:marBottom w:val="0"/>
                      <w:divBdr>
                        <w:top w:val="none" w:sz="0" w:space="0" w:color="auto"/>
                        <w:left w:val="none" w:sz="0" w:space="0" w:color="auto"/>
                        <w:bottom w:val="none" w:sz="0" w:space="0" w:color="auto"/>
                        <w:right w:val="none" w:sz="0" w:space="0" w:color="auto"/>
                      </w:divBdr>
                    </w:div>
                    <w:div w:id="1520661612">
                      <w:marLeft w:val="0"/>
                      <w:marRight w:val="0"/>
                      <w:marTop w:val="60"/>
                      <w:marBottom w:val="0"/>
                      <w:divBdr>
                        <w:top w:val="none" w:sz="0" w:space="0" w:color="auto"/>
                        <w:left w:val="none" w:sz="0" w:space="0" w:color="auto"/>
                        <w:bottom w:val="none" w:sz="0" w:space="0" w:color="auto"/>
                        <w:right w:val="none" w:sz="0" w:space="0" w:color="auto"/>
                      </w:divBdr>
                    </w:div>
                    <w:div w:id="19518905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01712305">
          <w:marLeft w:val="0"/>
          <w:marRight w:val="0"/>
          <w:marTop w:val="204"/>
          <w:marBottom w:val="0"/>
          <w:divBdr>
            <w:top w:val="none" w:sz="0" w:space="0" w:color="E1E1E1"/>
            <w:left w:val="none" w:sz="0" w:space="0" w:color="E1E1E1"/>
            <w:bottom w:val="single" w:sz="6" w:space="0" w:color="E1E1E1"/>
            <w:right w:val="none" w:sz="0" w:space="0" w:color="E1E1E1"/>
          </w:divBdr>
          <w:divsChild>
            <w:div w:id="1270703317">
              <w:marLeft w:val="0"/>
              <w:marRight w:val="0"/>
              <w:marTop w:val="0"/>
              <w:marBottom w:val="204"/>
              <w:divBdr>
                <w:top w:val="none" w:sz="0" w:space="0" w:color="auto"/>
                <w:left w:val="none" w:sz="0" w:space="0" w:color="auto"/>
                <w:bottom w:val="none" w:sz="0" w:space="0" w:color="auto"/>
                <w:right w:val="none" w:sz="0" w:space="0" w:color="auto"/>
              </w:divBdr>
              <w:divsChild>
                <w:div w:id="74861665">
                  <w:marLeft w:val="0"/>
                  <w:marRight w:val="0"/>
                  <w:marTop w:val="0"/>
                  <w:marBottom w:val="0"/>
                  <w:divBdr>
                    <w:top w:val="none" w:sz="0" w:space="0" w:color="auto"/>
                    <w:left w:val="none" w:sz="0" w:space="0" w:color="auto"/>
                    <w:bottom w:val="none" w:sz="0" w:space="0" w:color="auto"/>
                    <w:right w:val="none" w:sz="0" w:space="0" w:color="auto"/>
                  </w:divBdr>
                  <w:divsChild>
                    <w:div w:id="2115636630">
                      <w:marLeft w:val="0"/>
                      <w:marRight w:val="0"/>
                      <w:marTop w:val="0"/>
                      <w:marBottom w:val="0"/>
                      <w:divBdr>
                        <w:top w:val="none" w:sz="0" w:space="0" w:color="auto"/>
                        <w:left w:val="none" w:sz="0" w:space="0" w:color="auto"/>
                        <w:bottom w:val="none" w:sz="0" w:space="0" w:color="auto"/>
                        <w:right w:val="none" w:sz="0" w:space="0" w:color="auto"/>
                      </w:divBdr>
                    </w:div>
                    <w:div w:id="797918950">
                      <w:marLeft w:val="0"/>
                      <w:marRight w:val="0"/>
                      <w:marTop w:val="60"/>
                      <w:marBottom w:val="0"/>
                      <w:divBdr>
                        <w:top w:val="none" w:sz="0" w:space="0" w:color="auto"/>
                        <w:left w:val="none" w:sz="0" w:space="0" w:color="auto"/>
                        <w:bottom w:val="none" w:sz="0" w:space="0" w:color="auto"/>
                        <w:right w:val="none" w:sz="0" w:space="0" w:color="auto"/>
                      </w:divBdr>
                    </w:div>
                    <w:div w:id="1888402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71296794">
          <w:marLeft w:val="0"/>
          <w:marRight w:val="0"/>
          <w:marTop w:val="204"/>
          <w:marBottom w:val="0"/>
          <w:divBdr>
            <w:top w:val="none" w:sz="0" w:space="0" w:color="E1E1E1"/>
            <w:left w:val="none" w:sz="0" w:space="0" w:color="E1E1E1"/>
            <w:bottom w:val="single" w:sz="6" w:space="0" w:color="E1E1E1"/>
            <w:right w:val="none" w:sz="0" w:space="0" w:color="E1E1E1"/>
          </w:divBdr>
          <w:divsChild>
            <w:div w:id="132530918">
              <w:marLeft w:val="0"/>
              <w:marRight w:val="0"/>
              <w:marTop w:val="0"/>
              <w:marBottom w:val="204"/>
              <w:divBdr>
                <w:top w:val="none" w:sz="0" w:space="0" w:color="auto"/>
                <w:left w:val="none" w:sz="0" w:space="0" w:color="auto"/>
                <w:bottom w:val="none" w:sz="0" w:space="0" w:color="auto"/>
                <w:right w:val="none" w:sz="0" w:space="0" w:color="auto"/>
              </w:divBdr>
              <w:divsChild>
                <w:div w:id="399401284">
                  <w:marLeft w:val="0"/>
                  <w:marRight w:val="0"/>
                  <w:marTop w:val="0"/>
                  <w:marBottom w:val="0"/>
                  <w:divBdr>
                    <w:top w:val="none" w:sz="0" w:space="0" w:color="auto"/>
                    <w:left w:val="none" w:sz="0" w:space="0" w:color="auto"/>
                    <w:bottom w:val="none" w:sz="0" w:space="0" w:color="auto"/>
                    <w:right w:val="none" w:sz="0" w:space="0" w:color="auto"/>
                  </w:divBdr>
                  <w:divsChild>
                    <w:div w:id="360790926">
                      <w:marLeft w:val="0"/>
                      <w:marRight w:val="0"/>
                      <w:marTop w:val="0"/>
                      <w:marBottom w:val="0"/>
                      <w:divBdr>
                        <w:top w:val="none" w:sz="0" w:space="0" w:color="auto"/>
                        <w:left w:val="none" w:sz="0" w:space="0" w:color="auto"/>
                        <w:bottom w:val="none" w:sz="0" w:space="0" w:color="auto"/>
                        <w:right w:val="none" w:sz="0" w:space="0" w:color="auto"/>
                      </w:divBdr>
                    </w:div>
                    <w:div w:id="1508445090">
                      <w:marLeft w:val="0"/>
                      <w:marRight w:val="0"/>
                      <w:marTop w:val="60"/>
                      <w:marBottom w:val="0"/>
                      <w:divBdr>
                        <w:top w:val="none" w:sz="0" w:space="0" w:color="auto"/>
                        <w:left w:val="none" w:sz="0" w:space="0" w:color="auto"/>
                        <w:bottom w:val="none" w:sz="0" w:space="0" w:color="auto"/>
                        <w:right w:val="none" w:sz="0" w:space="0" w:color="auto"/>
                      </w:divBdr>
                    </w:div>
                    <w:div w:id="12254870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1422686">
          <w:marLeft w:val="0"/>
          <w:marRight w:val="0"/>
          <w:marTop w:val="204"/>
          <w:marBottom w:val="0"/>
          <w:divBdr>
            <w:top w:val="none" w:sz="0" w:space="0" w:color="E1E1E1"/>
            <w:left w:val="none" w:sz="0" w:space="0" w:color="E1E1E1"/>
            <w:bottom w:val="single" w:sz="6" w:space="0" w:color="E1E1E1"/>
            <w:right w:val="none" w:sz="0" w:space="0" w:color="E1E1E1"/>
          </w:divBdr>
          <w:divsChild>
            <w:div w:id="1256478831">
              <w:marLeft w:val="0"/>
              <w:marRight w:val="0"/>
              <w:marTop w:val="0"/>
              <w:marBottom w:val="204"/>
              <w:divBdr>
                <w:top w:val="none" w:sz="0" w:space="0" w:color="auto"/>
                <w:left w:val="none" w:sz="0" w:space="0" w:color="auto"/>
                <w:bottom w:val="none" w:sz="0" w:space="0" w:color="auto"/>
                <w:right w:val="none" w:sz="0" w:space="0" w:color="auto"/>
              </w:divBdr>
              <w:divsChild>
                <w:div w:id="490219531">
                  <w:marLeft w:val="0"/>
                  <w:marRight w:val="0"/>
                  <w:marTop w:val="0"/>
                  <w:marBottom w:val="0"/>
                  <w:divBdr>
                    <w:top w:val="none" w:sz="0" w:space="0" w:color="auto"/>
                    <w:left w:val="none" w:sz="0" w:space="0" w:color="auto"/>
                    <w:bottom w:val="none" w:sz="0" w:space="0" w:color="auto"/>
                    <w:right w:val="none" w:sz="0" w:space="0" w:color="auto"/>
                  </w:divBdr>
                  <w:divsChild>
                    <w:div w:id="978995246">
                      <w:marLeft w:val="0"/>
                      <w:marRight w:val="0"/>
                      <w:marTop w:val="0"/>
                      <w:marBottom w:val="0"/>
                      <w:divBdr>
                        <w:top w:val="none" w:sz="0" w:space="0" w:color="auto"/>
                        <w:left w:val="none" w:sz="0" w:space="0" w:color="auto"/>
                        <w:bottom w:val="none" w:sz="0" w:space="0" w:color="auto"/>
                        <w:right w:val="none" w:sz="0" w:space="0" w:color="auto"/>
                      </w:divBdr>
                    </w:div>
                    <w:div w:id="475950179">
                      <w:marLeft w:val="0"/>
                      <w:marRight w:val="0"/>
                      <w:marTop w:val="60"/>
                      <w:marBottom w:val="0"/>
                      <w:divBdr>
                        <w:top w:val="none" w:sz="0" w:space="0" w:color="auto"/>
                        <w:left w:val="none" w:sz="0" w:space="0" w:color="auto"/>
                        <w:bottom w:val="none" w:sz="0" w:space="0" w:color="auto"/>
                        <w:right w:val="none" w:sz="0" w:space="0" w:color="auto"/>
                      </w:divBdr>
                    </w:div>
                    <w:div w:id="1259020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44227263">
          <w:marLeft w:val="0"/>
          <w:marRight w:val="0"/>
          <w:marTop w:val="204"/>
          <w:marBottom w:val="0"/>
          <w:divBdr>
            <w:top w:val="none" w:sz="0" w:space="0" w:color="E1E1E1"/>
            <w:left w:val="none" w:sz="0" w:space="0" w:color="E1E1E1"/>
            <w:bottom w:val="single" w:sz="6" w:space="0" w:color="E1E1E1"/>
            <w:right w:val="none" w:sz="0" w:space="0" w:color="E1E1E1"/>
          </w:divBdr>
          <w:divsChild>
            <w:div w:id="425807305">
              <w:marLeft w:val="0"/>
              <w:marRight w:val="0"/>
              <w:marTop w:val="0"/>
              <w:marBottom w:val="204"/>
              <w:divBdr>
                <w:top w:val="none" w:sz="0" w:space="0" w:color="auto"/>
                <w:left w:val="none" w:sz="0" w:space="0" w:color="auto"/>
                <w:bottom w:val="none" w:sz="0" w:space="0" w:color="auto"/>
                <w:right w:val="none" w:sz="0" w:space="0" w:color="auto"/>
              </w:divBdr>
              <w:divsChild>
                <w:div w:id="930116817">
                  <w:marLeft w:val="0"/>
                  <w:marRight w:val="0"/>
                  <w:marTop w:val="0"/>
                  <w:marBottom w:val="0"/>
                  <w:divBdr>
                    <w:top w:val="none" w:sz="0" w:space="0" w:color="auto"/>
                    <w:left w:val="none" w:sz="0" w:space="0" w:color="auto"/>
                    <w:bottom w:val="none" w:sz="0" w:space="0" w:color="auto"/>
                    <w:right w:val="none" w:sz="0" w:space="0" w:color="auto"/>
                  </w:divBdr>
                  <w:divsChild>
                    <w:div w:id="1838571529">
                      <w:marLeft w:val="0"/>
                      <w:marRight w:val="0"/>
                      <w:marTop w:val="0"/>
                      <w:marBottom w:val="0"/>
                      <w:divBdr>
                        <w:top w:val="none" w:sz="0" w:space="0" w:color="auto"/>
                        <w:left w:val="none" w:sz="0" w:space="0" w:color="auto"/>
                        <w:bottom w:val="none" w:sz="0" w:space="0" w:color="auto"/>
                        <w:right w:val="none" w:sz="0" w:space="0" w:color="auto"/>
                      </w:divBdr>
                    </w:div>
                    <w:div w:id="1642928914">
                      <w:marLeft w:val="0"/>
                      <w:marRight w:val="0"/>
                      <w:marTop w:val="60"/>
                      <w:marBottom w:val="0"/>
                      <w:divBdr>
                        <w:top w:val="none" w:sz="0" w:space="0" w:color="auto"/>
                        <w:left w:val="none" w:sz="0" w:space="0" w:color="auto"/>
                        <w:bottom w:val="none" w:sz="0" w:space="0" w:color="auto"/>
                        <w:right w:val="none" w:sz="0" w:space="0" w:color="auto"/>
                      </w:divBdr>
                    </w:div>
                    <w:div w:id="2481269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07694290">
          <w:marLeft w:val="0"/>
          <w:marRight w:val="0"/>
          <w:marTop w:val="204"/>
          <w:marBottom w:val="0"/>
          <w:divBdr>
            <w:top w:val="none" w:sz="0" w:space="0" w:color="E1E1E1"/>
            <w:left w:val="none" w:sz="0" w:space="0" w:color="E1E1E1"/>
            <w:bottom w:val="single" w:sz="6" w:space="0" w:color="E1E1E1"/>
            <w:right w:val="none" w:sz="0" w:space="0" w:color="E1E1E1"/>
          </w:divBdr>
          <w:divsChild>
            <w:div w:id="638147595">
              <w:marLeft w:val="0"/>
              <w:marRight w:val="0"/>
              <w:marTop w:val="0"/>
              <w:marBottom w:val="204"/>
              <w:divBdr>
                <w:top w:val="none" w:sz="0" w:space="0" w:color="auto"/>
                <w:left w:val="none" w:sz="0" w:space="0" w:color="auto"/>
                <w:bottom w:val="none" w:sz="0" w:space="0" w:color="auto"/>
                <w:right w:val="none" w:sz="0" w:space="0" w:color="auto"/>
              </w:divBdr>
              <w:divsChild>
                <w:div w:id="404496881">
                  <w:marLeft w:val="0"/>
                  <w:marRight w:val="0"/>
                  <w:marTop w:val="0"/>
                  <w:marBottom w:val="0"/>
                  <w:divBdr>
                    <w:top w:val="none" w:sz="0" w:space="0" w:color="auto"/>
                    <w:left w:val="none" w:sz="0" w:space="0" w:color="auto"/>
                    <w:bottom w:val="none" w:sz="0" w:space="0" w:color="auto"/>
                    <w:right w:val="none" w:sz="0" w:space="0" w:color="auto"/>
                  </w:divBdr>
                  <w:divsChild>
                    <w:div w:id="2058510783">
                      <w:marLeft w:val="0"/>
                      <w:marRight w:val="0"/>
                      <w:marTop w:val="0"/>
                      <w:marBottom w:val="0"/>
                      <w:divBdr>
                        <w:top w:val="none" w:sz="0" w:space="0" w:color="auto"/>
                        <w:left w:val="none" w:sz="0" w:space="0" w:color="auto"/>
                        <w:bottom w:val="none" w:sz="0" w:space="0" w:color="auto"/>
                        <w:right w:val="none" w:sz="0" w:space="0" w:color="auto"/>
                      </w:divBdr>
                    </w:div>
                    <w:div w:id="1920555452">
                      <w:marLeft w:val="0"/>
                      <w:marRight w:val="0"/>
                      <w:marTop w:val="60"/>
                      <w:marBottom w:val="0"/>
                      <w:divBdr>
                        <w:top w:val="none" w:sz="0" w:space="0" w:color="auto"/>
                        <w:left w:val="none" w:sz="0" w:space="0" w:color="auto"/>
                        <w:bottom w:val="none" w:sz="0" w:space="0" w:color="auto"/>
                        <w:right w:val="none" w:sz="0" w:space="0" w:color="auto"/>
                      </w:divBdr>
                    </w:div>
                    <w:div w:id="52108764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69111240">
          <w:marLeft w:val="0"/>
          <w:marRight w:val="0"/>
          <w:marTop w:val="204"/>
          <w:marBottom w:val="0"/>
          <w:divBdr>
            <w:top w:val="none" w:sz="0" w:space="0" w:color="E1E1E1"/>
            <w:left w:val="none" w:sz="0" w:space="0" w:color="E1E1E1"/>
            <w:bottom w:val="single" w:sz="6" w:space="0" w:color="E1E1E1"/>
            <w:right w:val="none" w:sz="0" w:space="0" w:color="E1E1E1"/>
          </w:divBdr>
          <w:divsChild>
            <w:div w:id="222524907">
              <w:marLeft w:val="0"/>
              <w:marRight w:val="0"/>
              <w:marTop w:val="0"/>
              <w:marBottom w:val="204"/>
              <w:divBdr>
                <w:top w:val="none" w:sz="0" w:space="0" w:color="auto"/>
                <w:left w:val="none" w:sz="0" w:space="0" w:color="auto"/>
                <w:bottom w:val="none" w:sz="0" w:space="0" w:color="auto"/>
                <w:right w:val="none" w:sz="0" w:space="0" w:color="auto"/>
              </w:divBdr>
              <w:divsChild>
                <w:div w:id="1478643187">
                  <w:marLeft w:val="0"/>
                  <w:marRight w:val="0"/>
                  <w:marTop w:val="0"/>
                  <w:marBottom w:val="0"/>
                  <w:divBdr>
                    <w:top w:val="none" w:sz="0" w:space="0" w:color="auto"/>
                    <w:left w:val="none" w:sz="0" w:space="0" w:color="auto"/>
                    <w:bottom w:val="none" w:sz="0" w:space="0" w:color="auto"/>
                    <w:right w:val="none" w:sz="0" w:space="0" w:color="auto"/>
                  </w:divBdr>
                  <w:divsChild>
                    <w:div w:id="303505254">
                      <w:marLeft w:val="0"/>
                      <w:marRight w:val="0"/>
                      <w:marTop w:val="0"/>
                      <w:marBottom w:val="0"/>
                      <w:divBdr>
                        <w:top w:val="none" w:sz="0" w:space="0" w:color="auto"/>
                        <w:left w:val="none" w:sz="0" w:space="0" w:color="auto"/>
                        <w:bottom w:val="none" w:sz="0" w:space="0" w:color="auto"/>
                        <w:right w:val="none" w:sz="0" w:space="0" w:color="auto"/>
                      </w:divBdr>
                    </w:div>
                    <w:div w:id="411396101">
                      <w:marLeft w:val="0"/>
                      <w:marRight w:val="0"/>
                      <w:marTop w:val="60"/>
                      <w:marBottom w:val="0"/>
                      <w:divBdr>
                        <w:top w:val="none" w:sz="0" w:space="0" w:color="auto"/>
                        <w:left w:val="none" w:sz="0" w:space="0" w:color="auto"/>
                        <w:bottom w:val="none" w:sz="0" w:space="0" w:color="auto"/>
                        <w:right w:val="none" w:sz="0" w:space="0" w:color="auto"/>
                      </w:divBdr>
                    </w:div>
                    <w:div w:id="57875536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17884128">
          <w:marLeft w:val="0"/>
          <w:marRight w:val="0"/>
          <w:marTop w:val="204"/>
          <w:marBottom w:val="0"/>
          <w:divBdr>
            <w:top w:val="none" w:sz="0" w:space="0" w:color="E1E1E1"/>
            <w:left w:val="none" w:sz="0" w:space="0" w:color="E1E1E1"/>
            <w:bottom w:val="single" w:sz="6" w:space="0" w:color="E1E1E1"/>
            <w:right w:val="none" w:sz="0" w:space="0" w:color="E1E1E1"/>
          </w:divBdr>
          <w:divsChild>
            <w:div w:id="609052575">
              <w:marLeft w:val="0"/>
              <w:marRight w:val="0"/>
              <w:marTop w:val="0"/>
              <w:marBottom w:val="204"/>
              <w:divBdr>
                <w:top w:val="none" w:sz="0" w:space="0" w:color="auto"/>
                <w:left w:val="none" w:sz="0" w:space="0" w:color="auto"/>
                <w:bottom w:val="none" w:sz="0" w:space="0" w:color="auto"/>
                <w:right w:val="none" w:sz="0" w:space="0" w:color="auto"/>
              </w:divBdr>
              <w:divsChild>
                <w:div w:id="422998342">
                  <w:marLeft w:val="0"/>
                  <w:marRight w:val="0"/>
                  <w:marTop w:val="0"/>
                  <w:marBottom w:val="0"/>
                  <w:divBdr>
                    <w:top w:val="none" w:sz="0" w:space="0" w:color="auto"/>
                    <w:left w:val="none" w:sz="0" w:space="0" w:color="auto"/>
                    <w:bottom w:val="none" w:sz="0" w:space="0" w:color="auto"/>
                    <w:right w:val="none" w:sz="0" w:space="0" w:color="auto"/>
                  </w:divBdr>
                  <w:divsChild>
                    <w:div w:id="2047287837">
                      <w:marLeft w:val="0"/>
                      <w:marRight w:val="0"/>
                      <w:marTop w:val="0"/>
                      <w:marBottom w:val="0"/>
                      <w:divBdr>
                        <w:top w:val="none" w:sz="0" w:space="0" w:color="auto"/>
                        <w:left w:val="none" w:sz="0" w:space="0" w:color="auto"/>
                        <w:bottom w:val="none" w:sz="0" w:space="0" w:color="auto"/>
                        <w:right w:val="none" w:sz="0" w:space="0" w:color="auto"/>
                      </w:divBdr>
                    </w:div>
                    <w:div w:id="838078458">
                      <w:marLeft w:val="0"/>
                      <w:marRight w:val="0"/>
                      <w:marTop w:val="60"/>
                      <w:marBottom w:val="0"/>
                      <w:divBdr>
                        <w:top w:val="none" w:sz="0" w:space="0" w:color="auto"/>
                        <w:left w:val="none" w:sz="0" w:space="0" w:color="auto"/>
                        <w:bottom w:val="none" w:sz="0" w:space="0" w:color="auto"/>
                        <w:right w:val="none" w:sz="0" w:space="0" w:color="auto"/>
                      </w:divBdr>
                    </w:div>
                    <w:div w:id="175049303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0068511">
          <w:marLeft w:val="0"/>
          <w:marRight w:val="0"/>
          <w:marTop w:val="204"/>
          <w:marBottom w:val="0"/>
          <w:divBdr>
            <w:top w:val="none" w:sz="0" w:space="0" w:color="E1E1E1"/>
            <w:left w:val="none" w:sz="0" w:space="0" w:color="E1E1E1"/>
            <w:bottom w:val="single" w:sz="6" w:space="0" w:color="E1E1E1"/>
            <w:right w:val="none" w:sz="0" w:space="0" w:color="E1E1E1"/>
          </w:divBdr>
          <w:divsChild>
            <w:div w:id="771171944">
              <w:marLeft w:val="0"/>
              <w:marRight w:val="0"/>
              <w:marTop w:val="0"/>
              <w:marBottom w:val="204"/>
              <w:divBdr>
                <w:top w:val="none" w:sz="0" w:space="0" w:color="auto"/>
                <w:left w:val="none" w:sz="0" w:space="0" w:color="auto"/>
                <w:bottom w:val="none" w:sz="0" w:space="0" w:color="auto"/>
                <w:right w:val="none" w:sz="0" w:space="0" w:color="auto"/>
              </w:divBdr>
              <w:divsChild>
                <w:div w:id="1073700778">
                  <w:marLeft w:val="0"/>
                  <w:marRight w:val="0"/>
                  <w:marTop w:val="0"/>
                  <w:marBottom w:val="0"/>
                  <w:divBdr>
                    <w:top w:val="none" w:sz="0" w:space="0" w:color="auto"/>
                    <w:left w:val="none" w:sz="0" w:space="0" w:color="auto"/>
                    <w:bottom w:val="none" w:sz="0" w:space="0" w:color="auto"/>
                    <w:right w:val="none" w:sz="0" w:space="0" w:color="auto"/>
                  </w:divBdr>
                  <w:divsChild>
                    <w:div w:id="707798151">
                      <w:marLeft w:val="0"/>
                      <w:marRight w:val="0"/>
                      <w:marTop w:val="0"/>
                      <w:marBottom w:val="0"/>
                      <w:divBdr>
                        <w:top w:val="none" w:sz="0" w:space="0" w:color="auto"/>
                        <w:left w:val="none" w:sz="0" w:space="0" w:color="auto"/>
                        <w:bottom w:val="none" w:sz="0" w:space="0" w:color="auto"/>
                        <w:right w:val="none" w:sz="0" w:space="0" w:color="auto"/>
                      </w:divBdr>
                    </w:div>
                    <w:div w:id="1322809029">
                      <w:marLeft w:val="0"/>
                      <w:marRight w:val="0"/>
                      <w:marTop w:val="60"/>
                      <w:marBottom w:val="0"/>
                      <w:divBdr>
                        <w:top w:val="none" w:sz="0" w:space="0" w:color="auto"/>
                        <w:left w:val="none" w:sz="0" w:space="0" w:color="auto"/>
                        <w:bottom w:val="none" w:sz="0" w:space="0" w:color="auto"/>
                        <w:right w:val="none" w:sz="0" w:space="0" w:color="auto"/>
                      </w:divBdr>
                    </w:div>
                    <w:div w:id="1475533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46674396">
          <w:marLeft w:val="0"/>
          <w:marRight w:val="0"/>
          <w:marTop w:val="204"/>
          <w:marBottom w:val="0"/>
          <w:divBdr>
            <w:top w:val="none" w:sz="0" w:space="0" w:color="E1E1E1"/>
            <w:left w:val="none" w:sz="0" w:space="0" w:color="E1E1E1"/>
            <w:bottom w:val="single" w:sz="6" w:space="0" w:color="E1E1E1"/>
            <w:right w:val="none" w:sz="0" w:space="0" w:color="E1E1E1"/>
          </w:divBdr>
          <w:divsChild>
            <w:div w:id="364790951">
              <w:marLeft w:val="0"/>
              <w:marRight w:val="0"/>
              <w:marTop w:val="0"/>
              <w:marBottom w:val="204"/>
              <w:divBdr>
                <w:top w:val="none" w:sz="0" w:space="0" w:color="auto"/>
                <w:left w:val="none" w:sz="0" w:space="0" w:color="auto"/>
                <w:bottom w:val="none" w:sz="0" w:space="0" w:color="auto"/>
                <w:right w:val="none" w:sz="0" w:space="0" w:color="auto"/>
              </w:divBdr>
              <w:divsChild>
                <w:div w:id="1487740514">
                  <w:marLeft w:val="0"/>
                  <w:marRight w:val="0"/>
                  <w:marTop w:val="0"/>
                  <w:marBottom w:val="0"/>
                  <w:divBdr>
                    <w:top w:val="none" w:sz="0" w:space="0" w:color="auto"/>
                    <w:left w:val="none" w:sz="0" w:space="0" w:color="auto"/>
                    <w:bottom w:val="none" w:sz="0" w:space="0" w:color="auto"/>
                    <w:right w:val="none" w:sz="0" w:space="0" w:color="auto"/>
                  </w:divBdr>
                  <w:divsChild>
                    <w:div w:id="1206334622">
                      <w:marLeft w:val="0"/>
                      <w:marRight w:val="0"/>
                      <w:marTop w:val="0"/>
                      <w:marBottom w:val="0"/>
                      <w:divBdr>
                        <w:top w:val="none" w:sz="0" w:space="0" w:color="auto"/>
                        <w:left w:val="none" w:sz="0" w:space="0" w:color="auto"/>
                        <w:bottom w:val="none" w:sz="0" w:space="0" w:color="auto"/>
                        <w:right w:val="none" w:sz="0" w:space="0" w:color="auto"/>
                      </w:divBdr>
                    </w:div>
                    <w:div w:id="747927326">
                      <w:marLeft w:val="0"/>
                      <w:marRight w:val="0"/>
                      <w:marTop w:val="60"/>
                      <w:marBottom w:val="0"/>
                      <w:divBdr>
                        <w:top w:val="none" w:sz="0" w:space="0" w:color="auto"/>
                        <w:left w:val="none" w:sz="0" w:space="0" w:color="auto"/>
                        <w:bottom w:val="none" w:sz="0" w:space="0" w:color="auto"/>
                        <w:right w:val="none" w:sz="0" w:space="0" w:color="auto"/>
                      </w:divBdr>
                    </w:div>
                    <w:div w:id="159694107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44251392">
          <w:marLeft w:val="0"/>
          <w:marRight w:val="0"/>
          <w:marTop w:val="204"/>
          <w:marBottom w:val="0"/>
          <w:divBdr>
            <w:top w:val="none" w:sz="0" w:space="0" w:color="E1E1E1"/>
            <w:left w:val="none" w:sz="0" w:space="0" w:color="E1E1E1"/>
            <w:bottom w:val="single" w:sz="6" w:space="0" w:color="E1E1E1"/>
            <w:right w:val="none" w:sz="0" w:space="0" w:color="E1E1E1"/>
          </w:divBdr>
          <w:divsChild>
            <w:div w:id="1255361534">
              <w:marLeft w:val="0"/>
              <w:marRight w:val="0"/>
              <w:marTop w:val="0"/>
              <w:marBottom w:val="204"/>
              <w:divBdr>
                <w:top w:val="none" w:sz="0" w:space="0" w:color="auto"/>
                <w:left w:val="none" w:sz="0" w:space="0" w:color="auto"/>
                <w:bottom w:val="none" w:sz="0" w:space="0" w:color="auto"/>
                <w:right w:val="none" w:sz="0" w:space="0" w:color="auto"/>
              </w:divBdr>
              <w:divsChild>
                <w:div w:id="850920857">
                  <w:marLeft w:val="0"/>
                  <w:marRight w:val="0"/>
                  <w:marTop w:val="0"/>
                  <w:marBottom w:val="0"/>
                  <w:divBdr>
                    <w:top w:val="none" w:sz="0" w:space="0" w:color="auto"/>
                    <w:left w:val="none" w:sz="0" w:space="0" w:color="auto"/>
                    <w:bottom w:val="none" w:sz="0" w:space="0" w:color="auto"/>
                    <w:right w:val="none" w:sz="0" w:space="0" w:color="auto"/>
                  </w:divBdr>
                  <w:divsChild>
                    <w:div w:id="2040356879">
                      <w:marLeft w:val="0"/>
                      <w:marRight w:val="0"/>
                      <w:marTop w:val="0"/>
                      <w:marBottom w:val="0"/>
                      <w:divBdr>
                        <w:top w:val="none" w:sz="0" w:space="0" w:color="auto"/>
                        <w:left w:val="none" w:sz="0" w:space="0" w:color="auto"/>
                        <w:bottom w:val="none" w:sz="0" w:space="0" w:color="auto"/>
                        <w:right w:val="none" w:sz="0" w:space="0" w:color="auto"/>
                      </w:divBdr>
                    </w:div>
                    <w:div w:id="1311399734">
                      <w:marLeft w:val="0"/>
                      <w:marRight w:val="0"/>
                      <w:marTop w:val="60"/>
                      <w:marBottom w:val="0"/>
                      <w:divBdr>
                        <w:top w:val="none" w:sz="0" w:space="0" w:color="auto"/>
                        <w:left w:val="none" w:sz="0" w:space="0" w:color="auto"/>
                        <w:bottom w:val="none" w:sz="0" w:space="0" w:color="auto"/>
                        <w:right w:val="none" w:sz="0" w:space="0" w:color="auto"/>
                      </w:divBdr>
                    </w:div>
                    <w:div w:id="11463143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62781037">
          <w:marLeft w:val="0"/>
          <w:marRight w:val="0"/>
          <w:marTop w:val="204"/>
          <w:marBottom w:val="0"/>
          <w:divBdr>
            <w:top w:val="none" w:sz="0" w:space="0" w:color="E1E1E1"/>
            <w:left w:val="none" w:sz="0" w:space="0" w:color="E1E1E1"/>
            <w:bottom w:val="single" w:sz="6" w:space="0" w:color="E1E1E1"/>
            <w:right w:val="none" w:sz="0" w:space="0" w:color="E1E1E1"/>
          </w:divBdr>
          <w:divsChild>
            <w:div w:id="133521403">
              <w:marLeft w:val="0"/>
              <w:marRight w:val="0"/>
              <w:marTop w:val="0"/>
              <w:marBottom w:val="204"/>
              <w:divBdr>
                <w:top w:val="none" w:sz="0" w:space="0" w:color="auto"/>
                <w:left w:val="none" w:sz="0" w:space="0" w:color="auto"/>
                <w:bottom w:val="none" w:sz="0" w:space="0" w:color="auto"/>
                <w:right w:val="none" w:sz="0" w:space="0" w:color="auto"/>
              </w:divBdr>
              <w:divsChild>
                <w:div w:id="1324356750">
                  <w:marLeft w:val="0"/>
                  <w:marRight w:val="0"/>
                  <w:marTop w:val="0"/>
                  <w:marBottom w:val="0"/>
                  <w:divBdr>
                    <w:top w:val="none" w:sz="0" w:space="0" w:color="auto"/>
                    <w:left w:val="none" w:sz="0" w:space="0" w:color="auto"/>
                    <w:bottom w:val="none" w:sz="0" w:space="0" w:color="auto"/>
                    <w:right w:val="none" w:sz="0" w:space="0" w:color="auto"/>
                  </w:divBdr>
                  <w:divsChild>
                    <w:div w:id="1345203901">
                      <w:marLeft w:val="0"/>
                      <w:marRight w:val="0"/>
                      <w:marTop w:val="0"/>
                      <w:marBottom w:val="0"/>
                      <w:divBdr>
                        <w:top w:val="none" w:sz="0" w:space="0" w:color="auto"/>
                        <w:left w:val="none" w:sz="0" w:space="0" w:color="auto"/>
                        <w:bottom w:val="none" w:sz="0" w:space="0" w:color="auto"/>
                        <w:right w:val="none" w:sz="0" w:space="0" w:color="auto"/>
                      </w:divBdr>
                    </w:div>
                    <w:div w:id="678773703">
                      <w:marLeft w:val="0"/>
                      <w:marRight w:val="0"/>
                      <w:marTop w:val="60"/>
                      <w:marBottom w:val="0"/>
                      <w:divBdr>
                        <w:top w:val="none" w:sz="0" w:space="0" w:color="auto"/>
                        <w:left w:val="none" w:sz="0" w:space="0" w:color="auto"/>
                        <w:bottom w:val="none" w:sz="0" w:space="0" w:color="auto"/>
                        <w:right w:val="none" w:sz="0" w:space="0" w:color="auto"/>
                      </w:divBdr>
                    </w:div>
                    <w:div w:id="11071929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70667408">
          <w:marLeft w:val="0"/>
          <w:marRight w:val="0"/>
          <w:marTop w:val="204"/>
          <w:marBottom w:val="0"/>
          <w:divBdr>
            <w:top w:val="none" w:sz="0" w:space="0" w:color="E1E1E1"/>
            <w:left w:val="none" w:sz="0" w:space="0" w:color="E1E1E1"/>
            <w:bottom w:val="single" w:sz="6" w:space="0" w:color="E1E1E1"/>
            <w:right w:val="none" w:sz="0" w:space="0" w:color="E1E1E1"/>
          </w:divBdr>
          <w:divsChild>
            <w:div w:id="285894905">
              <w:marLeft w:val="0"/>
              <w:marRight w:val="0"/>
              <w:marTop w:val="0"/>
              <w:marBottom w:val="204"/>
              <w:divBdr>
                <w:top w:val="none" w:sz="0" w:space="0" w:color="auto"/>
                <w:left w:val="none" w:sz="0" w:space="0" w:color="auto"/>
                <w:bottom w:val="none" w:sz="0" w:space="0" w:color="auto"/>
                <w:right w:val="none" w:sz="0" w:space="0" w:color="auto"/>
              </w:divBdr>
              <w:divsChild>
                <w:div w:id="1094861369">
                  <w:marLeft w:val="0"/>
                  <w:marRight w:val="0"/>
                  <w:marTop w:val="0"/>
                  <w:marBottom w:val="0"/>
                  <w:divBdr>
                    <w:top w:val="none" w:sz="0" w:space="0" w:color="auto"/>
                    <w:left w:val="none" w:sz="0" w:space="0" w:color="auto"/>
                    <w:bottom w:val="none" w:sz="0" w:space="0" w:color="auto"/>
                    <w:right w:val="none" w:sz="0" w:space="0" w:color="auto"/>
                  </w:divBdr>
                  <w:divsChild>
                    <w:div w:id="1887451698">
                      <w:marLeft w:val="0"/>
                      <w:marRight w:val="0"/>
                      <w:marTop w:val="0"/>
                      <w:marBottom w:val="0"/>
                      <w:divBdr>
                        <w:top w:val="none" w:sz="0" w:space="0" w:color="auto"/>
                        <w:left w:val="none" w:sz="0" w:space="0" w:color="auto"/>
                        <w:bottom w:val="none" w:sz="0" w:space="0" w:color="auto"/>
                        <w:right w:val="none" w:sz="0" w:space="0" w:color="auto"/>
                      </w:divBdr>
                    </w:div>
                    <w:div w:id="869218730">
                      <w:marLeft w:val="0"/>
                      <w:marRight w:val="0"/>
                      <w:marTop w:val="60"/>
                      <w:marBottom w:val="0"/>
                      <w:divBdr>
                        <w:top w:val="none" w:sz="0" w:space="0" w:color="auto"/>
                        <w:left w:val="none" w:sz="0" w:space="0" w:color="auto"/>
                        <w:bottom w:val="none" w:sz="0" w:space="0" w:color="auto"/>
                        <w:right w:val="none" w:sz="0" w:space="0" w:color="auto"/>
                      </w:divBdr>
                    </w:div>
                    <w:div w:id="113830633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8672569">
          <w:marLeft w:val="0"/>
          <w:marRight w:val="0"/>
          <w:marTop w:val="204"/>
          <w:marBottom w:val="0"/>
          <w:divBdr>
            <w:top w:val="none" w:sz="0" w:space="0" w:color="E1E1E1"/>
            <w:left w:val="none" w:sz="0" w:space="0" w:color="E1E1E1"/>
            <w:bottom w:val="single" w:sz="6" w:space="0" w:color="E1E1E1"/>
            <w:right w:val="none" w:sz="0" w:space="0" w:color="E1E1E1"/>
          </w:divBdr>
          <w:divsChild>
            <w:div w:id="537083010">
              <w:marLeft w:val="0"/>
              <w:marRight w:val="0"/>
              <w:marTop w:val="0"/>
              <w:marBottom w:val="204"/>
              <w:divBdr>
                <w:top w:val="none" w:sz="0" w:space="0" w:color="auto"/>
                <w:left w:val="none" w:sz="0" w:space="0" w:color="auto"/>
                <w:bottom w:val="none" w:sz="0" w:space="0" w:color="auto"/>
                <w:right w:val="none" w:sz="0" w:space="0" w:color="auto"/>
              </w:divBdr>
              <w:divsChild>
                <w:div w:id="1997805640">
                  <w:marLeft w:val="0"/>
                  <w:marRight w:val="0"/>
                  <w:marTop w:val="0"/>
                  <w:marBottom w:val="0"/>
                  <w:divBdr>
                    <w:top w:val="none" w:sz="0" w:space="0" w:color="auto"/>
                    <w:left w:val="none" w:sz="0" w:space="0" w:color="auto"/>
                    <w:bottom w:val="none" w:sz="0" w:space="0" w:color="auto"/>
                    <w:right w:val="none" w:sz="0" w:space="0" w:color="auto"/>
                  </w:divBdr>
                  <w:divsChild>
                    <w:div w:id="2028409582">
                      <w:marLeft w:val="0"/>
                      <w:marRight w:val="0"/>
                      <w:marTop w:val="0"/>
                      <w:marBottom w:val="0"/>
                      <w:divBdr>
                        <w:top w:val="none" w:sz="0" w:space="0" w:color="auto"/>
                        <w:left w:val="none" w:sz="0" w:space="0" w:color="auto"/>
                        <w:bottom w:val="none" w:sz="0" w:space="0" w:color="auto"/>
                        <w:right w:val="none" w:sz="0" w:space="0" w:color="auto"/>
                      </w:divBdr>
                    </w:div>
                    <w:div w:id="1089079393">
                      <w:marLeft w:val="0"/>
                      <w:marRight w:val="0"/>
                      <w:marTop w:val="60"/>
                      <w:marBottom w:val="0"/>
                      <w:divBdr>
                        <w:top w:val="none" w:sz="0" w:space="0" w:color="auto"/>
                        <w:left w:val="none" w:sz="0" w:space="0" w:color="auto"/>
                        <w:bottom w:val="none" w:sz="0" w:space="0" w:color="auto"/>
                        <w:right w:val="none" w:sz="0" w:space="0" w:color="auto"/>
                      </w:divBdr>
                    </w:div>
                    <w:div w:id="1310221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485634010">
          <w:marLeft w:val="0"/>
          <w:marRight w:val="0"/>
          <w:marTop w:val="204"/>
          <w:marBottom w:val="0"/>
          <w:divBdr>
            <w:top w:val="none" w:sz="0" w:space="0" w:color="E1E1E1"/>
            <w:left w:val="none" w:sz="0" w:space="0" w:color="E1E1E1"/>
            <w:bottom w:val="single" w:sz="6" w:space="0" w:color="E1E1E1"/>
            <w:right w:val="none" w:sz="0" w:space="0" w:color="E1E1E1"/>
          </w:divBdr>
          <w:divsChild>
            <w:div w:id="434635894">
              <w:marLeft w:val="0"/>
              <w:marRight w:val="0"/>
              <w:marTop w:val="0"/>
              <w:marBottom w:val="204"/>
              <w:divBdr>
                <w:top w:val="none" w:sz="0" w:space="0" w:color="auto"/>
                <w:left w:val="none" w:sz="0" w:space="0" w:color="auto"/>
                <w:bottom w:val="none" w:sz="0" w:space="0" w:color="auto"/>
                <w:right w:val="none" w:sz="0" w:space="0" w:color="auto"/>
              </w:divBdr>
              <w:divsChild>
                <w:div w:id="1552426474">
                  <w:marLeft w:val="0"/>
                  <w:marRight w:val="0"/>
                  <w:marTop w:val="0"/>
                  <w:marBottom w:val="0"/>
                  <w:divBdr>
                    <w:top w:val="none" w:sz="0" w:space="0" w:color="auto"/>
                    <w:left w:val="none" w:sz="0" w:space="0" w:color="auto"/>
                    <w:bottom w:val="none" w:sz="0" w:space="0" w:color="auto"/>
                    <w:right w:val="none" w:sz="0" w:space="0" w:color="auto"/>
                  </w:divBdr>
                  <w:divsChild>
                    <w:div w:id="1669093388">
                      <w:marLeft w:val="0"/>
                      <w:marRight w:val="0"/>
                      <w:marTop w:val="0"/>
                      <w:marBottom w:val="0"/>
                      <w:divBdr>
                        <w:top w:val="none" w:sz="0" w:space="0" w:color="auto"/>
                        <w:left w:val="none" w:sz="0" w:space="0" w:color="auto"/>
                        <w:bottom w:val="none" w:sz="0" w:space="0" w:color="auto"/>
                        <w:right w:val="none" w:sz="0" w:space="0" w:color="auto"/>
                      </w:divBdr>
                    </w:div>
                    <w:div w:id="1464036550">
                      <w:marLeft w:val="0"/>
                      <w:marRight w:val="0"/>
                      <w:marTop w:val="60"/>
                      <w:marBottom w:val="0"/>
                      <w:divBdr>
                        <w:top w:val="none" w:sz="0" w:space="0" w:color="auto"/>
                        <w:left w:val="none" w:sz="0" w:space="0" w:color="auto"/>
                        <w:bottom w:val="none" w:sz="0" w:space="0" w:color="auto"/>
                        <w:right w:val="none" w:sz="0" w:space="0" w:color="auto"/>
                      </w:divBdr>
                    </w:div>
                    <w:div w:id="5598288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42282951">
          <w:marLeft w:val="0"/>
          <w:marRight w:val="0"/>
          <w:marTop w:val="204"/>
          <w:marBottom w:val="0"/>
          <w:divBdr>
            <w:top w:val="none" w:sz="0" w:space="0" w:color="E1E1E1"/>
            <w:left w:val="none" w:sz="0" w:space="0" w:color="E1E1E1"/>
            <w:bottom w:val="none" w:sz="0" w:space="0" w:color="auto"/>
            <w:right w:val="none" w:sz="0" w:space="0" w:color="E1E1E1"/>
          </w:divBdr>
          <w:divsChild>
            <w:div w:id="1005933809">
              <w:marLeft w:val="0"/>
              <w:marRight w:val="0"/>
              <w:marTop w:val="0"/>
              <w:marBottom w:val="0"/>
              <w:divBdr>
                <w:top w:val="none" w:sz="0" w:space="0" w:color="auto"/>
                <w:left w:val="none" w:sz="0" w:space="0" w:color="auto"/>
                <w:bottom w:val="none" w:sz="0" w:space="0" w:color="auto"/>
                <w:right w:val="none" w:sz="0" w:space="0" w:color="auto"/>
              </w:divBdr>
              <w:divsChild>
                <w:div w:id="1686442687">
                  <w:marLeft w:val="0"/>
                  <w:marRight w:val="0"/>
                  <w:marTop w:val="0"/>
                  <w:marBottom w:val="0"/>
                  <w:divBdr>
                    <w:top w:val="none" w:sz="0" w:space="0" w:color="auto"/>
                    <w:left w:val="none" w:sz="0" w:space="0" w:color="auto"/>
                    <w:bottom w:val="none" w:sz="0" w:space="0" w:color="auto"/>
                    <w:right w:val="none" w:sz="0" w:space="0" w:color="auto"/>
                  </w:divBdr>
                  <w:divsChild>
                    <w:div w:id="1629043464">
                      <w:marLeft w:val="0"/>
                      <w:marRight w:val="0"/>
                      <w:marTop w:val="0"/>
                      <w:marBottom w:val="0"/>
                      <w:divBdr>
                        <w:top w:val="none" w:sz="0" w:space="0" w:color="auto"/>
                        <w:left w:val="none" w:sz="0" w:space="0" w:color="auto"/>
                        <w:bottom w:val="none" w:sz="0" w:space="0" w:color="auto"/>
                        <w:right w:val="none" w:sz="0" w:space="0" w:color="auto"/>
                      </w:divBdr>
                    </w:div>
                    <w:div w:id="779564133">
                      <w:marLeft w:val="0"/>
                      <w:marRight w:val="0"/>
                      <w:marTop w:val="60"/>
                      <w:marBottom w:val="0"/>
                      <w:divBdr>
                        <w:top w:val="none" w:sz="0" w:space="0" w:color="auto"/>
                        <w:left w:val="none" w:sz="0" w:space="0" w:color="auto"/>
                        <w:bottom w:val="none" w:sz="0" w:space="0" w:color="auto"/>
                        <w:right w:val="none" w:sz="0" w:space="0" w:color="auto"/>
                      </w:divBdr>
                    </w:div>
                    <w:div w:id="5953350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tac.gov.za/Researchdocs/Efficiency%20and%20Performance%20of%20Bulgarian%20Private%20Pensions%20(Impavido,%202008).pdf" TargetMode="External"/><Relationship Id="rId13" Type="http://schemas.openxmlformats.org/officeDocument/2006/relationships/hyperlink" Target="https://www.gtac.gov.za/Researchdocs/Nuts%20and%20Bolts%20of%20Brazil's%20Bolsa%20Familia%20Program%20(Lindert,%20Linder,%20Hobbs%20and%20Briere,%202007).pdf" TargetMode="External"/><Relationship Id="rId18" Type="http://schemas.openxmlformats.org/officeDocument/2006/relationships/hyperlink" Target="https://www.gtac.gov.za/Researchdocs/Pension%20Reform%20in%20China-Progress%20and%20Prospects%20(Salditt%20and%20Whiteford,%202007).pdf" TargetMode="External"/><Relationship Id="rId26" Type="http://schemas.openxmlformats.org/officeDocument/2006/relationships/hyperlink" Target="https://www.gtac.gov.za/Researchdocs/Social%20Security%20Reform%20in%20Brazil%20-%20Achievements%20and%20Remaining%20Challenges%20(Giambiagi%20and%20Mello,%202006).pdf"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gtac.gov.za/Researchdocs/Rise%20of%20401(k)%20Plans,%20Lifetime%20Earnings,%20and%20Wealth%20at%20Retirement%20(Poterba,%20Venti%20and%20Wise,%202007).pdf" TargetMode="External"/><Relationship Id="rId34" Type="http://schemas.openxmlformats.org/officeDocument/2006/relationships/hyperlink" Target="https://www.gtac.gov.za/Researchdocs/The%20Role%20of%20Pension%20Funds%20during%20the%20Financial%20Crisis%20(Hormaz%C3%A1bal,%202011).pdf" TargetMode="External"/><Relationship Id="rId7" Type="http://schemas.openxmlformats.org/officeDocument/2006/relationships/hyperlink" Target="https://www.gtac.gov.za/Researchdocs/Consumer%20Confusion-%20The%20Choice%20of%20AFORE%20in%20Mexico%20(Calderon-Colin,%20Dominguez%20and%20Schwartz,%202008).pdf" TargetMode="External"/><Relationship Id="rId12" Type="http://schemas.openxmlformats.org/officeDocument/2006/relationships/hyperlink" Target="https://www.gtac.gov.za/Researchdocs/New%20Strategies%20for%20Old-Age%20Income%20Security%20in%20Low-Income%20Countries%20(Barrientos,%202007).pdf" TargetMode="External"/><Relationship Id="rId17" Type="http://schemas.openxmlformats.org/officeDocument/2006/relationships/hyperlink" Target="https://www.gtac.gov.za/Researchdocs/Pension%20Reform%20in%20China%20-%20The%20Need%20for%20a%20New%20Approach%20(Dunaway%20and%20Arora,%202007).pdf" TargetMode="External"/><Relationship Id="rId25" Type="http://schemas.openxmlformats.org/officeDocument/2006/relationships/hyperlink" Target="https://www.gtac.gov.za/Researchdocs/Social%20Security%20Reform-%20Considerations%20for%20Individual%20Account%20Design%20(Bovbjerg,%202005).pdf" TargetMode="External"/><Relationship Id="rId33" Type="http://schemas.openxmlformats.org/officeDocument/2006/relationships/hyperlink" Target="https://www.gtac.gov.za/Researchdocs/The%20National%20Pension%20Scheme%20of%20the%20Republic%20of%20Korea%20(Yang,%202001).pdf"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gtac.gov.za/Researchdocs/Pension%20Reform%20in%20Chile-%20What%20has%20been%20Learnt%20(Palau,%202009).pdf" TargetMode="External"/><Relationship Id="rId20" Type="http://schemas.openxmlformats.org/officeDocument/2006/relationships/hyperlink" Target="https://www.gtac.gov.za/Researchdocs/Public%20Pension%20and%20Household%20Saving-%20Evidence%20from%20China%20(Feng,%20He%20and%20Sato,%202009).pdf" TargetMode="External"/><Relationship Id="rId29" Type="http://schemas.openxmlformats.org/officeDocument/2006/relationships/hyperlink" Target="https://www.gtac.gov.za/Researchdocs/Tax%20and%20Pension%20Reform%20in%20the%20Czech%20Republic-%20Implications%20for%20Growth%20and%20Debt%20Sustainability.pdf" TargetMode="External"/><Relationship Id="rId1" Type="http://schemas.openxmlformats.org/officeDocument/2006/relationships/styles" Target="styles.xml"/><Relationship Id="rId6" Type="http://schemas.openxmlformats.org/officeDocument/2006/relationships/hyperlink" Target="https://www.gtac.gov.za/Researchdocs/Australia%E2%80%99s%20Future%20Tax%20System-%20Retirement%20Income%20Consultation%20Paper%20(Henry,%202008).pdf" TargetMode="External"/><Relationship Id="rId11" Type="http://schemas.openxmlformats.org/officeDocument/2006/relationships/hyperlink" Target="https://www.gtac.gov.za/Researchdocs/Inequality,%20Poverty%20and%20Social%20Policy%20-%20Recent%20Trends%20in%20Chile%20(Larranaga,%202009).pdf" TargetMode="External"/><Relationship Id="rId24" Type="http://schemas.openxmlformats.org/officeDocument/2006/relationships/hyperlink" Target="https://www.gtac.gov.za/Researchdocs/Social%20Security%20Individual%20Accounts-%20Design%20Questions%20(AAA,%202003).pdf" TargetMode="External"/><Relationship Id="rId32" Type="http://schemas.openxmlformats.org/officeDocument/2006/relationships/hyperlink" Target="https://www.gtac.gov.za/Researchdocs/The%20Future%20of%20Social%20Security%20Pensions%20in%20Europe%20(Feldstein,%202001).pdf" TargetMode="External"/><Relationship Id="rId37" Type="http://schemas.openxmlformats.org/officeDocument/2006/relationships/hyperlink" Target="https://www.gtac.gov.za/Researchdocs/World%20Social%20Security%20Report-%20Providing%20Coverage%20in%20Times%20of%20Crisis%20and%20Beyond%20(ILO,%202010).pdf" TargetMode="External"/><Relationship Id="rId5" Type="http://schemas.openxmlformats.org/officeDocument/2006/relationships/hyperlink" Target="https://www.gtac.gov.za/Researchdocs/Alleviating%20Structural%20Poverty%20in%20Developing%20Countries-%20The%20Approach%20of%20PROGRESA%20in%20Mexico%20(Coady,%202003).pdf" TargetMode="External"/><Relationship Id="rId15" Type="http://schemas.openxmlformats.org/officeDocument/2006/relationships/hyperlink" Target="https://www.gtac.gov.za/Researchdocs/Pension%20Reform%20and%20Macroeconomic%20Stability%20in%20Latin%20America%20(Roldos,%202007).pdf" TargetMode="External"/><Relationship Id="rId23" Type="http://schemas.openxmlformats.org/officeDocument/2006/relationships/hyperlink" Target="https://www.gtac.gov.za/Researchdocs/Social%20Insurance%20in%20Sweden.pdf" TargetMode="External"/><Relationship Id="rId28" Type="http://schemas.openxmlformats.org/officeDocument/2006/relationships/hyperlink" Target="https://www.gtac.gov.za/Researchdocs/Social%20Security%20Reforms%20in%20Latin%20America%20-%20What%20can%20the%20US%20Learn%20(Gill%20and%20Tatacu,%202005).pdf" TargetMode="External"/><Relationship Id="rId36" Type="http://schemas.openxmlformats.org/officeDocument/2006/relationships/hyperlink" Target="https://www.gtac.gov.za/Researchdocs/The%20Unification%20of%20the%20Social%20Insurance%20Contribution%20Collection%20System%20in%20Korea%20-%20OECD%20(Jang,%202007).pdf" TargetMode="External"/><Relationship Id="rId10" Type="http://schemas.openxmlformats.org/officeDocument/2006/relationships/hyperlink" Target="https://www.gtac.gov.za/Researchdocs/Househld%20Income%20as%20a%20Determinant%20of%20Child%20Labour%20and%20School%20Enrollment%20in%20Brazil%20(IMF%20working%20paper,%202008).pdf" TargetMode="External"/><Relationship Id="rId19" Type="http://schemas.openxmlformats.org/officeDocument/2006/relationships/hyperlink" Target="https://www.gtac.gov.za/Researchdocs/PROGRESA%20and%20its%20Impacts%20on%20the%20Human%20Capital%20and%20Welfare%20of%20Households%20in%20Rural%20Mexico%20(Skoufias,%202001).pdf" TargetMode="External"/><Relationship Id="rId31" Type="http://schemas.openxmlformats.org/officeDocument/2006/relationships/hyperlink" Target="https://www.gtac.gov.za/Researchdocs/The%20Economics%20of%20State%20and%20Local%20Public%20Pensions%20(Brown%20et%20al,%202011).pdf" TargetMode="External"/><Relationship Id="rId4" Type="http://schemas.openxmlformats.org/officeDocument/2006/relationships/hyperlink" Target="https://www.gtac.gov.za/Researchdocs/A%20Sustainable%20and%20Scalable%20Approach%20in%20Indian%20Pension%20Reform%20(Shah,%202005).pdf" TargetMode="External"/><Relationship Id="rId9" Type="http://schemas.openxmlformats.org/officeDocument/2006/relationships/hyperlink" Target="https://www.gtac.gov.za/Researchdocs/Evaluating%20Welfare%20Reform%20in%20the%20United%20States%20(Blank,%202002).pdf" TargetMode="External"/><Relationship Id="rId14" Type="http://schemas.openxmlformats.org/officeDocument/2006/relationships/hyperlink" Target="https://www.gtac.gov.za/Researchdocs/Overview%20of%20Social%20Insurance%20in%20Sweden.ppt" TargetMode="External"/><Relationship Id="rId22" Type="http://schemas.openxmlformats.org/officeDocument/2006/relationships/hyperlink" Target="https://www.gtac.gov.za/Researchdocs/Social%20Insecurity-%20The%20Finanacialisation%20of%20Healthcare%20and%20Pensions%20in%20Developing%20Countries%20(Sumaria,%202010).pdf" TargetMode="External"/><Relationship Id="rId27" Type="http://schemas.openxmlformats.org/officeDocument/2006/relationships/hyperlink" Target="https://www.gtac.gov.za/Researchdocs/Social%20Security%20Reforms%20in%20Colombia-%20Striking%20Demographic%20and%20Fiscal%20Balances%20-%20(Clavijo,%202009).pdf" TargetMode="External"/><Relationship Id="rId30" Type="http://schemas.openxmlformats.org/officeDocument/2006/relationships/hyperlink" Target="https://www.gtac.gov.za/Researchdocs/The%20Automatic%20Balance%20Mechanism%20of%20the%20Swedish%20Pension%20System%20(Settergren,%202001).pdf" TargetMode="External"/><Relationship Id="rId35" Type="http://schemas.openxmlformats.org/officeDocument/2006/relationships/hyperlink" Target="https://www.gtac.gov.za/Researchdocs/The%20Swedish%20Welfare%20State-%20The%20Role%20of%20Supplementary%20Compensation%20(Lindquist%20and%20Wadensj%C3%B6,%2020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7939</Words>
  <Characters>45258</Characters>
  <Application>Microsoft Office Word</Application>
  <DocSecurity>0</DocSecurity>
  <Lines>377</Lines>
  <Paragraphs>106</Paragraphs>
  <ScaleCrop>false</ScaleCrop>
  <Company/>
  <LinksUpToDate>false</LinksUpToDate>
  <CharactersWithSpaces>53091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Archer</dc:creator>
  <cp:keywords/>
  <dc:description/>
  <cp:lastModifiedBy>Jade Archer</cp:lastModifiedBy>
  <cp:revision>1</cp:revision>
  <dcterms:created xsi:type="dcterms:W3CDTF">2021-09-08T09:08:00Z</dcterms:created>
  <dcterms:modified xsi:type="dcterms:W3CDTF">2021-09-08T09:09:00Z</dcterms:modified>
</cp:coreProperties>
</file>